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D6CB" w14:textId="5E182AED" w:rsidR="009B6FD7" w:rsidRDefault="008359FF" w:rsidP="009B6FD7">
      <w:pPr>
        <w:spacing w:after="480"/>
      </w:pPr>
      <w:r>
        <w:rPr>
          <w:noProof/>
        </w:rPr>
        <w:drawing>
          <wp:inline distT="0" distB="0" distL="0" distR="0" wp14:anchorId="2B2401D6" wp14:editId="1F673A6C">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2"/>
        <w:gridCol w:w="4917"/>
      </w:tblGrid>
      <w:tr w:rsidR="009B6FD7" w14:paraId="71B66420" w14:textId="77777777" w:rsidTr="00DB6D88">
        <w:trPr>
          <w:tblHeader/>
        </w:trPr>
        <w:tc>
          <w:tcPr>
            <w:tcW w:w="3456" w:type="dxa"/>
            <w:tcBorders>
              <w:bottom w:val="single" w:sz="18" w:space="0" w:color="auto"/>
            </w:tcBorders>
          </w:tcPr>
          <w:p w14:paraId="4BD626CD" w14:textId="77777777" w:rsidR="009B6FD7" w:rsidRPr="009B6FD7" w:rsidRDefault="009B6FD7" w:rsidP="009B6FD7">
            <w:pPr>
              <w:pStyle w:val="Heading1"/>
              <w:outlineLvl w:val="0"/>
            </w:pPr>
            <w:r w:rsidRPr="009B6FD7">
              <w:t>Report for:</w:t>
            </w:r>
          </w:p>
        </w:tc>
        <w:tc>
          <w:tcPr>
            <w:tcW w:w="5054" w:type="dxa"/>
            <w:tcBorders>
              <w:bottom w:val="single" w:sz="18" w:space="0" w:color="auto"/>
            </w:tcBorders>
          </w:tcPr>
          <w:p w14:paraId="719B6674" w14:textId="77777777" w:rsidR="009B6FD7" w:rsidRPr="00A160B2" w:rsidRDefault="009B6FD7" w:rsidP="00DB6D88">
            <w:pPr>
              <w:pStyle w:val="Heading1"/>
              <w:outlineLvl w:val="0"/>
              <w:rPr>
                <w:color w:val="0000FF"/>
                <w:szCs w:val="24"/>
              </w:rPr>
            </w:pPr>
            <w:r>
              <w:t xml:space="preserve">Health and Wellbeing Board  </w:t>
            </w:r>
          </w:p>
        </w:tc>
      </w:tr>
      <w:tr w:rsidR="009B6FD7" w14:paraId="0A599729" w14:textId="77777777" w:rsidTr="00DB6D88">
        <w:tc>
          <w:tcPr>
            <w:tcW w:w="3456" w:type="dxa"/>
            <w:tcBorders>
              <w:top w:val="single" w:sz="18" w:space="0" w:color="auto"/>
            </w:tcBorders>
          </w:tcPr>
          <w:p w14:paraId="7D2C26B8" w14:textId="77777777" w:rsidR="009B6FD7" w:rsidRPr="00F92398" w:rsidRDefault="009B6FD7"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21D64DDE" w14:textId="77777777" w:rsidR="009B6FD7" w:rsidRPr="00F92398" w:rsidRDefault="009B6FD7" w:rsidP="00DB6D88">
            <w:pPr>
              <w:pStyle w:val="Infotext"/>
              <w:rPr>
                <w:rFonts w:ascii="Arial Black" w:hAnsi="Arial Black" w:cs="Arial"/>
              </w:rPr>
            </w:pPr>
          </w:p>
        </w:tc>
        <w:tc>
          <w:tcPr>
            <w:tcW w:w="5054" w:type="dxa"/>
            <w:tcBorders>
              <w:top w:val="single" w:sz="18" w:space="0" w:color="auto"/>
            </w:tcBorders>
          </w:tcPr>
          <w:p w14:paraId="3575FC37" w14:textId="7A401E07" w:rsidR="009B6FD7" w:rsidRDefault="00425466" w:rsidP="00DB6D88">
            <w:pPr>
              <w:pStyle w:val="Infotext"/>
              <w:rPr>
                <w:rFonts w:cs="Arial"/>
              </w:rPr>
            </w:pPr>
            <w:r>
              <w:rPr>
                <w:rFonts w:cs="Arial"/>
              </w:rPr>
              <w:t>22</w:t>
            </w:r>
            <w:r w:rsidRPr="00425466">
              <w:rPr>
                <w:rFonts w:cs="Arial"/>
                <w:vertAlign w:val="superscript"/>
              </w:rPr>
              <w:t>nd</w:t>
            </w:r>
            <w:r>
              <w:rPr>
                <w:rFonts w:cs="Arial"/>
              </w:rPr>
              <w:t xml:space="preserve"> June 2023</w:t>
            </w:r>
          </w:p>
        </w:tc>
      </w:tr>
      <w:tr w:rsidR="009B6FD7" w14:paraId="577E5DC8" w14:textId="77777777" w:rsidTr="00DB6D88">
        <w:tc>
          <w:tcPr>
            <w:tcW w:w="3456" w:type="dxa"/>
          </w:tcPr>
          <w:p w14:paraId="2A08B6D2" w14:textId="77777777" w:rsidR="009B6FD7" w:rsidRPr="00F92398" w:rsidRDefault="009B6FD7" w:rsidP="00DB6D88">
            <w:pPr>
              <w:pStyle w:val="Infotext"/>
              <w:rPr>
                <w:rFonts w:ascii="Arial Black" w:hAnsi="Arial Black" w:cs="Arial"/>
              </w:rPr>
            </w:pPr>
            <w:r w:rsidRPr="00F92398">
              <w:rPr>
                <w:rFonts w:ascii="Arial Black" w:hAnsi="Arial Black" w:cs="Arial"/>
              </w:rPr>
              <w:t>Subject:</w:t>
            </w:r>
          </w:p>
          <w:p w14:paraId="2B5A4F3C" w14:textId="77777777" w:rsidR="009B6FD7" w:rsidRPr="00F92398" w:rsidRDefault="009B6FD7" w:rsidP="00DB6D88">
            <w:pPr>
              <w:pStyle w:val="Infotext"/>
              <w:rPr>
                <w:rFonts w:ascii="Arial Black" w:hAnsi="Arial Black"/>
              </w:rPr>
            </w:pPr>
          </w:p>
        </w:tc>
        <w:tc>
          <w:tcPr>
            <w:tcW w:w="5054" w:type="dxa"/>
          </w:tcPr>
          <w:p w14:paraId="429E8C6F" w14:textId="67F39404" w:rsidR="009B6FD7" w:rsidRDefault="008675EC" w:rsidP="00DB6D88">
            <w:pPr>
              <w:pStyle w:val="Infotext"/>
              <w:rPr>
                <w:rFonts w:cs="Arial"/>
              </w:rPr>
            </w:pPr>
            <w:r>
              <w:rPr>
                <w:rFonts w:cs="Arial"/>
              </w:rPr>
              <w:t>Supplementary statement to the Pharmaceutical Needs Assessment</w:t>
            </w:r>
          </w:p>
        </w:tc>
      </w:tr>
      <w:tr w:rsidR="009B6FD7" w14:paraId="729405DE" w14:textId="77777777" w:rsidTr="00DB6D88">
        <w:tc>
          <w:tcPr>
            <w:tcW w:w="3456" w:type="dxa"/>
          </w:tcPr>
          <w:p w14:paraId="25E0AB3B" w14:textId="77777777" w:rsidR="009B6FD7" w:rsidRPr="00F92398" w:rsidRDefault="009B6FD7" w:rsidP="00DB6D88">
            <w:pPr>
              <w:pStyle w:val="Infotext"/>
              <w:rPr>
                <w:rFonts w:ascii="Arial Black" w:hAnsi="Arial Black" w:cs="Arial"/>
              </w:rPr>
            </w:pPr>
            <w:r w:rsidRPr="00F92398">
              <w:rPr>
                <w:rFonts w:ascii="Arial Black" w:hAnsi="Arial Black" w:cs="Arial"/>
              </w:rPr>
              <w:t>Responsible Officer:</w:t>
            </w:r>
          </w:p>
          <w:p w14:paraId="3715CDA7" w14:textId="77777777" w:rsidR="009B6FD7" w:rsidRPr="00F92398" w:rsidRDefault="009B6FD7" w:rsidP="00DB6D88">
            <w:pPr>
              <w:pStyle w:val="Infotext"/>
              <w:rPr>
                <w:rFonts w:ascii="Arial Black" w:hAnsi="Arial Black" w:cs="Arial"/>
              </w:rPr>
            </w:pPr>
          </w:p>
        </w:tc>
        <w:tc>
          <w:tcPr>
            <w:tcW w:w="5054" w:type="dxa"/>
          </w:tcPr>
          <w:p w14:paraId="5A7F43A0" w14:textId="297849B2" w:rsidR="009B6FD7" w:rsidRDefault="00222F23" w:rsidP="00DB6D88">
            <w:pPr>
              <w:pStyle w:val="Infotext"/>
              <w:rPr>
                <w:rFonts w:cs="Arial"/>
              </w:rPr>
            </w:pPr>
            <w:r>
              <w:rPr>
                <w:rFonts w:cs="Arial"/>
              </w:rPr>
              <w:t>Carole Furlong. Director of Public Health.</w:t>
            </w:r>
          </w:p>
          <w:p w14:paraId="5F5247A9" w14:textId="77777777" w:rsidR="009B6FD7" w:rsidRDefault="009B6FD7" w:rsidP="00DB6D88">
            <w:pPr>
              <w:pStyle w:val="Infotext"/>
              <w:rPr>
                <w:rFonts w:cs="Arial"/>
              </w:rPr>
            </w:pPr>
          </w:p>
        </w:tc>
      </w:tr>
      <w:tr w:rsidR="009B6FD7" w14:paraId="0820659A" w14:textId="77777777" w:rsidTr="00DB6D88">
        <w:tc>
          <w:tcPr>
            <w:tcW w:w="3456" w:type="dxa"/>
          </w:tcPr>
          <w:p w14:paraId="33B20FEF" w14:textId="77777777" w:rsidR="009B6FD7" w:rsidRPr="00F92398" w:rsidRDefault="009B6FD7" w:rsidP="009B6FD7">
            <w:pPr>
              <w:pStyle w:val="Infotext"/>
              <w:rPr>
                <w:rFonts w:ascii="Arial Black" w:hAnsi="Arial Black" w:cs="Arial"/>
              </w:rPr>
            </w:pPr>
            <w:r>
              <w:rPr>
                <w:rFonts w:ascii="Arial Black" w:hAnsi="Arial Black" w:cs="Arial"/>
              </w:rPr>
              <w:t>Public</w:t>
            </w:r>
            <w:r w:rsidRPr="00F92398">
              <w:rPr>
                <w:rFonts w:ascii="Arial Black" w:hAnsi="Arial Black" w:cs="Arial"/>
              </w:rPr>
              <w:t>:</w:t>
            </w:r>
          </w:p>
          <w:p w14:paraId="511A0815" w14:textId="77777777" w:rsidR="009B6FD7" w:rsidRPr="00F92398" w:rsidRDefault="009B6FD7" w:rsidP="00DB6D88">
            <w:pPr>
              <w:pStyle w:val="Infotext"/>
              <w:rPr>
                <w:rFonts w:ascii="Arial Black" w:hAnsi="Arial Black" w:cs="Arial"/>
              </w:rPr>
            </w:pPr>
          </w:p>
        </w:tc>
        <w:tc>
          <w:tcPr>
            <w:tcW w:w="5054" w:type="dxa"/>
          </w:tcPr>
          <w:p w14:paraId="6EB4F9AC" w14:textId="7B92D4B8" w:rsidR="007219C8" w:rsidRDefault="009B6FD7" w:rsidP="007219C8">
            <w:pPr>
              <w:pStyle w:val="Infotext"/>
              <w:rPr>
                <w:rFonts w:cs="Arial"/>
              </w:rPr>
            </w:pPr>
            <w:r>
              <w:rPr>
                <w:rFonts w:cs="Arial"/>
              </w:rPr>
              <w:t xml:space="preserve">Yes </w:t>
            </w:r>
          </w:p>
          <w:p w14:paraId="2FDB38D7" w14:textId="65C4A4E7" w:rsidR="009B6FD7" w:rsidRDefault="009B6FD7" w:rsidP="009B6FD7">
            <w:pPr>
              <w:pStyle w:val="Infotext"/>
              <w:rPr>
                <w:rFonts w:cs="Arial"/>
              </w:rPr>
            </w:pPr>
          </w:p>
        </w:tc>
      </w:tr>
      <w:tr w:rsidR="009B6FD7" w14:paraId="3E825936" w14:textId="77777777" w:rsidTr="00DB6D88">
        <w:tc>
          <w:tcPr>
            <w:tcW w:w="3456" w:type="dxa"/>
          </w:tcPr>
          <w:p w14:paraId="5DE68216" w14:textId="77777777" w:rsidR="009B6FD7" w:rsidRDefault="009B6FD7" w:rsidP="00DB6D88">
            <w:pPr>
              <w:pStyle w:val="Infotext"/>
              <w:rPr>
                <w:rFonts w:ascii="Arial Black" w:hAnsi="Arial Black" w:cs="Arial"/>
              </w:rPr>
            </w:pPr>
            <w:r>
              <w:rPr>
                <w:rFonts w:ascii="Arial Black" w:hAnsi="Arial Black" w:cs="Arial"/>
              </w:rPr>
              <w:t>Wards affected:</w:t>
            </w:r>
          </w:p>
          <w:p w14:paraId="6F196838" w14:textId="77777777" w:rsidR="009B6FD7" w:rsidRPr="00F92398" w:rsidRDefault="009B6FD7" w:rsidP="00DB6D88">
            <w:pPr>
              <w:pStyle w:val="Infotext"/>
              <w:rPr>
                <w:rFonts w:ascii="Arial Black" w:hAnsi="Arial Black" w:cs="Arial"/>
              </w:rPr>
            </w:pPr>
          </w:p>
        </w:tc>
        <w:tc>
          <w:tcPr>
            <w:tcW w:w="5054" w:type="dxa"/>
          </w:tcPr>
          <w:p w14:paraId="343A6004" w14:textId="49107C37" w:rsidR="009B6FD7" w:rsidRDefault="00222F23" w:rsidP="00DB6D88">
            <w:pPr>
              <w:pStyle w:val="Infotext"/>
            </w:pPr>
            <w:r w:rsidRPr="00222F23">
              <w:rPr>
                <w:rFonts w:cs="Arial"/>
                <w:b/>
                <w:szCs w:val="24"/>
              </w:rPr>
              <w:t>All wards</w:t>
            </w:r>
          </w:p>
        </w:tc>
      </w:tr>
      <w:tr w:rsidR="009B6FD7" w14:paraId="2F9866C6" w14:textId="77777777" w:rsidTr="00DB6D88">
        <w:tc>
          <w:tcPr>
            <w:tcW w:w="3456" w:type="dxa"/>
          </w:tcPr>
          <w:p w14:paraId="4555FF1F" w14:textId="77777777" w:rsidR="009B6FD7" w:rsidRPr="00F92398" w:rsidRDefault="009B6FD7" w:rsidP="00DB6D88">
            <w:pPr>
              <w:pStyle w:val="Infotext"/>
              <w:rPr>
                <w:rFonts w:ascii="Arial Black" w:hAnsi="Arial Black" w:cs="Arial"/>
              </w:rPr>
            </w:pPr>
            <w:r w:rsidRPr="00F92398">
              <w:rPr>
                <w:rFonts w:ascii="Arial Black" w:hAnsi="Arial Black" w:cs="Arial"/>
              </w:rPr>
              <w:t>Enclosures:</w:t>
            </w:r>
          </w:p>
          <w:p w14:paraId="0F293416" w14:textId="77777777" w:rsidR="009B6FD7" w:rsidRPr="00F92398" w:rsidRDefault="009B6FD7" w:rsidP="00DB6D88">
            <w:pPr>
              <w:pStyle w:val="Infotext"/>
              <w:rPr>
                <w:rFonts w:ascii="Arial Black" w:hAnsi="Arial Black" w:cs="Arial"/>
              </w:rPr>
            </w:pPr>
          </w:p>
        </w:tc>
        <w:tc>
          <w:tcPr>
            <w:tcW w:w="5054" w:type="dxa"/>
          </w:tcPr>
          <w:p w14:paraId="70B6CB0B" w14:textId="4BA3F6E8" w:rsidR="009B6FD7" w:rsidRDefault="008675EC" w:rsidP="00DB6D88">
            <w:pPr>
              <w:pStyle w:val="Infotext"/>
            </w:pPr>
            <w:r>
              <w:t>None</w:t>
            </w:r>
          </w:p>
        </w:tc>
      </w:tr>
    </w:tbl>
    <w:p w14:paraId="04AB847D" w14:textId="77777777" w:rsidR="009B6FD7" w:rsidRDefault="009B6FD7" w:rsidP="009B6FD7">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976BF" w14:paraId="6582A1DA" w14:textId="77777777" w:rsidTr="00DB6D88">
        <w:trPr>
          <w:tblHeader/>
        </w:trPr>
        <w:tc>
          <w:tcPr>
            <w:tcW w:w="8525" w:type="dxa"/>
            <w:tcBorders>
              <w:top w:val="nil"/>
              <w:left w:val="nil"/>
              <w:bottom w:val="single" w:sz="4" w:space="0" w:color="auto"/>
              <w:right w:val="nil"/>
            </w:tcBorders>
          </w:tcPr>
          <w:p w14:paraId="4306589F" w14:textId="77777777" w:rsidR="001976BF" w:rsidRDefault="001976BF" w:rsidP="00DB6D88">
            <w:pPr>
              <w:pStyle w:val="Heading2"/>
              <w:spacing w:before="240"/>
            </w:pPr>
            <w:r>
              <w:t>Section 1 – Summary and Recommendations</w:t>
            </w:r>
          </w:p>
        </w:tc>
      </w:tr>
      <w:tr w:rsidR="001976BF" w14:paraId="7319AC6E" w14:textId="77777777" w:rsidTr="00DB6D88">
        <w:trPr>
          <w:tblHeader/>
        </w:trPr>
        <w:tc>
          <w:tcPr>
            <w:tcW w:w="8525" w:type="dxa"/>
            <w:tcBorders>
              <w:left w:val="nil"/>
              <w:bottom w:val="nil"/>
              <w:right w:val="nil"/>
            </w:tcBorders>
          </w:tcPr>
          <w:p w14:paraId="5F881D15" w14:textId="7DE33EA5" w:rsidR="001976BF" w:rsidRPr="00222F23" w:rsidRDefault="00C65D4B" w:rsidP="00DB6D88">
            <w:r>
              <w:t xml:space="preserve">The </w:t>
            </w:r>
            <w:r w:rsidR="00587C69">
              <w:t xml:space="preserve">Pharmaceutical Needs Assessment </w:t>
            </w:r>
            <w:r w:rsidR="001C0FAA">
              <w:t xml:space="preserve">(PNA) </w:t>
            </w:r>
            <w:r w:rsidR="00DA5B13">
              <w:t xml:space="preserve">was approved by </w:t>
            </w:r>
            <w:r w:rsidR="00A92F2C">
              <w:t xml:space="preserve">the Health and Wellbeing Board in November 2022. The PNA details if there </w:t>
            </w:r>
            <w:r w:rsidR="001C0FAA">
              <w:t>is</w:t>
            </w:r>
            <w:r w:rsidR="00A92F2C">
              <w:t xml:space="preserve"> sufficient pharmaceutical provision </w:t>
            </w:r>
            <w:r w:rsidR="00FD4D48">
              <w:t>across Harrow</w:t>
            </w:r>
            <w:r w:rsidR="00A92F2C">
              <w:t xml:space="preserve">. As Pharmacies </w:t>
            </w:r>
            <w:r w:rsidR="00E3528D">
              <w:t>change the</w:t>
            </w:r>
            <w:r w:rsidR="00B32F37">
              <w:t xml:space="preserve"> PNA needs to be revisited to ensure the scope of su</w:t>
            </w:r>
            <w:r w:rsidR="00E3528D">
              <w:t>ppl</w:t>
            </w:r>
            <w:r w:rsidR="00B32F37">
              <w:t xml:space="preserve">y is </w:t>
            </w:r>
            <w:r w:rsidR="002C4CDD">
              <w:t xml:space="preserve">still </w:t>
            </w:r>
            <w:r w:rsidR="00E3528D">
              <w:t>sufficient</w:t>
            </w:r>
            <w:r w:rsidR="00B070BD">
              <w:t xml:space="preserve">. </w:t>
            </w:r>
            <w:r w:rsidR="00EA2F92">
              <w:t xml:space="preserve">The changes are detailed in a </w:t>
            </w:r>
            <w:r w:rsidR="00A103F4">
              <w:t xml:space="preserve">log of changes known as </w:t>
            </w:r>
            <w:r w:rsidR="00EA2F92">
              <w:t>Supplementary Statement</w:t>
            </w:r>
            <w:r w:rsidR="00A103F4">
              <w:t>s</w:t>
            </w:r>
            <w:r w:rsidR="00AB736A">
              <w:t>. S</w:t>
            </w:r>
            <w:r w:rsidR="008D7AA4">
              <w:t xml:space="preserve">ince the publication of the PNA in November </w:t>
            </w:r>
            <w:r w:rsidR="00AB736A">
              <w:t xml:space="preserve">2022 </w:t>
            </w:r>
            <w:r w:rsidR="008D7AA4">
              <w:t>there have been two supplementary statements</w:t>
            </w:r>
            <w:r w:rsidR="00AB736A">
              <w:t xml:space="preserve">, this is the second notification to the </w:t>
            </w:r>
            <w:r w:rsidR="00BF4820">
              <w:t>Board.</w:t>
            </w:r>
          </w:p>
          <w:p w14:paraId="03D09642" w14:textId="77777777" w:rsidR="001976BF" w:rsidRDefault="001976BF" w:rsidP="00DB6D88">
            <w:pPr>
              <w:rPr>
                <w:rFonts w:ascii="Arial Bold" w:hAnsi="Arial Bold"/>
                <w:b/>
                <w:sz w:val="28"/>
              </w:rPr>
            </w:pPr>
          </w:p>
          <w:p w14:paraId="74211D77" w14:textId="77777777" w:rsidR="001976BF" w:rsidRPr="00A160B2" w:rsidRDefault="001976BF" w:rsidP="00DB6D88">
            <w:pPr>
              <w:rPr>
                <w:rFonts w:ascii="Arial Bold" w:hAnsi="Arial Bold"/>
                <w:b/>
                <w:sz w:val="28"/>
              </w:rPr>
            </w:pPr>
            <w:r w:rsidRPr="00A160B2">
              <w:rPr>
                <w:rFonts w:ascii="Arial Bold" w:hAnsi="Arial Bold"/>
                <w:b/>
                <w:sz w:val="28"/>
              </w:rPr>
              <w:t xml:space="preserve">Recommendations: </w:t>
            </w:r>
          </w:p>
          <w:p w14:paraId="4D9F4B54" w14:textId="298ACAC6" w:rsidR="001976BF" w:rsidRDefault="001976BF" w:rsidP="00222F23">
            <w:r>
              <w:t>The Board is requested to:</w:t>
            </w:r>
            <w:r w:rsidR="00222F23">
              <w:t xml:space="preserve"> </w:t>
            </w:r>
            <w:r w:rsidR="0014658E">
              <w:rPr>
                <w:bCs/>
              </w:rPr>
              <w:t>A</w:t>
            </w:r>
            <w:r w:rsidR="00222F23" w:rsidRPr="00222F23">
              <w:rPr>
                <w:bCs/>
              </w:rPr>
              <w:t>pprove th</w:t>
            </w:r>
            <w:r w:rsidR="00653AFE">
              <w:rPr>
                <w:bCs/>
              </w:rPr>
              <w:t xml:space="preserve">e conclusion that </w:t>
            </w:r>
            <w:r w:rsidR="00EB0198">
              <w:rPr>
                <w:bCs/>
              </w:rPr>
              <w:t xml:space="preserve">the residents of Harrow will not be negatively impacted by the </w:t>
            </w:r>
            <w:r w:rsidR="009D5F6E">
              <w:rPr>
                <w:bCs/>
              </w:rPr>
              <w:t xml:space="preserve">consolidation of </w:t>
            </w:r>
            <w:r w:rsidR="00CE43B8">
              <w:rPr>
                <w:bCs/>
              </w:rPr>
              <w:t xml:space="preserve">two community pharmacies </w:t>
            </w:r>
            <w:r w:rsidR="00880EB3">
              <w:rPr>
                <w:bCs/>
              </w:rPr>
              <w:t>at</w:t>
            </w:r>
            <w:r w:rsidR="00CE43B8">
              <w:rPr>
                <w:bCs/>
              </w:rPr>
              <w:t xml:space="preserve"> </w:t>
            </w:r>
            <w:r w:rsidR="00755744">
              <w:rPr>
                <w:bCs/>
              </w:rPr>
              <w:t xml:space="preserve">High Road, </w:t>
            </w:r>
            <w:r w:rsidR="00CE43B8">
              <w:rPr>
                <w:bCs/>
              </w:rPr>
              <w:t xml:space="preserve">Harrow </w:t>
            </w:r>
            <w:r w:rsidR="00CE43B8" w:rsidRPr="00E04B6A">
              <w:rPr>
                <w:rFonts w:cs="Arial"/>
                <w:szCs w:val="24"/>
              </w:rPr>
              <w:t>Weald HA3 6EL</w:t>
            </w:r>
            <w:r w:rsidR="00222F23" w:rsidRPr="00222F23">
              <w:rPr>
                <w:bCs/>
              </w:rPr>
              <w:t>.</w:t>
            </w:r>
            <w:r w:rsidRPr="00222F23">
              <w:t xml:space="preserve"> </w:t>
            </w:r>
          </w:p>
        </w:tc>
      </w:tr>
    </w:tbl>
    <w:p w14:paraId="3F0893FD" w14:textId="77777777" w:rsidR="00FA7D7A" w:rsidRDefault="00FA7D7A" w:rsidP="009B6FD7">
      <w:pPr>
        <w:pStyle w:val="Heading2"/>
      </w:pPr>
    </w:p>
    <w:p w14:paraId="3AF8ECC6" w14:textId="472230F8" w:rsidR="009B6FD7" w:rsidRDefault="009B6FD7" w:rsidP="009B6FD7">
      <w:pPr>
        <w:pStyle w:val="Heading2"/>
      </w:pPr>
      <w:r>
        <w:lastRenderedPageBreak/>
        <w:t>Section 2 – Report</w:t>
      </w:r>
    </w:p>
    <w:p w14:paraId="7C386E09" w14:textId="77777777" w:rsidR="00081FF4" w:rsidRPr="00CF621B" w:rsidRDefault="00081FF4" w:rsidP="00081FF4">
      <w:pPr>
        <w:rPr>
          <w:rFonts w:cs="Arial"/>
          <w:b/>
        </w:rPr>
      </w:pPr>
      <w:r w:rsidRPr="00CF621B">
        <w:rPr>
          <w:rFonts w:cs="Arial"/>
          <w:b/>
        </w:rPr>
        <w:t>Date Supplementary Statement issued – February 2023</w:t>
      </w:r>
    </w:p>
    <w:p w14:paraId="2B9376BF" w14:textId="77777777" w:rsidR="00081FF4" w:rsidRDefault="00081FF4" w:rsidP="00081FF4">
      <w:pPr>
        <w:rPr>
          <w:rFonts w:cs="Arial"/>
          <w:bCs/>
        </w:rPr>
      </w:pPr>
    </w:p>
    <w:p w14:paraId="31D9B4E8" w14:textId="77777777" w:rsidR="00CF621B" w:rsidRDefault="00081FF4" w:rsidP="00081FF4">
      <w:pPr>
        <w:rPr>
          <w:rFonts w:cs="Arial"/>
          <w:bCs/>
        </w:rPr>
      </w:pPr>
      <w:r w:rsidRPr="00081FF4">
        <w:rPr>
          <w:rFonts w:cs="Arial"/>
          <w:bCs/>
        </w:rPr>
        <w:t xml:space="preserve">The Regulations state that Supplementary Statements can provide updates to the Pharmaceutical Needs Assessment only in relation to changes in the availability of pharmaceutical services. Supplementary Statements cannot provide updates on pharmaceutical need. This can only be achieved through a review of the Pharmaceutical Needs Assessment. </w:t>
      </w:r>
    </w:p>
    <w:p w14:paraId="35DDD9DC" w14:textId="77777777" w:rsidR="00CF621B" w:rsidRDefault="00CF621B" w:rsidP="00081FF4">
      <w:pPr>
        <w:rPr>
          <w:rFonts w:cs="Arial"/>
          <w:bCs/>
        </w:rPr>
      </w:pPr>
    </w:p>
    <w:p w14:paraId="63E4DD15" w14:textId="7059A424" w:rsidR="001976BF" w:rsidRDefault="00081FF4" w:rsidP="00081FF4">
      <w:pPr>
        <w:rPr>
          <w:rFonts w:cs="Arial"/>
          <w:b/>
        </w:rPr>
      </w:pPr>
      <w:r w:rsidRPr="00081FF4">
        <w:rPr>
          <w:rFonts w:cs="Arial"/>
          <w:bCs/>
        </w:rPr>
        <w:t>The following pharmaceutical services currently contained within the Pharmaceutical Needs Assessment have been identified as needing updating. This updated information supersedes some of the original information within the PNA and should be read in conjunction with that document.</w:t>
      </w:r>
    </w:p>
    <w:p w14:paraId="6915351D" w14:textId="77777777" w:rsidR="00CF621B" w:rsidRDefault="00CF621B" w:rsidP="00081FF4">
      <w:pPr>
        <w:rPr>
          <w:rFonts w:ascii="Arial Bold" w:hAnsi="Arial Bold"/>
          <w:b/>
        </w:rPr>
      </w:pPr>
    </w:p>
    <w:p w14:paraId="370B7CB5" w14:textId="3617C353" w:rsidR="00307ADE" w:rsidRDefault="00F878F9" w:rsidP="00CF621B">
      <w:pPr>
        <w:rPr>
          <w:rFonts w:ascii="Arial Bold" w:hAnsi="Arial Bold"/>
          <w:b/>
        </w:rPr>
      </w:pPr>
      <w:r w:rsidRPr="00F878F9">
        <w:rPr>
          <w:rFonts w:ascii="Arial Bold" w:hAnsi="Arial Bold"/>
          <w:b/>
        </w:rPr>
        <w:t>Closure of pharmacies</w:t>
      </w:r>
    </w:p>
    <w:p w14:paraId="1BC285D4" w14:textId="77777777" w:rsidR="00307ADE" w:rsidRDefault="00307ADE" w:rsidP="001976BF">
      <w:pPr>
        <w:ind w:left="720"/>
        <w:rPr>
          <w:rFonts w:ascii="Arial Bold" w:hAnsi="Arial Bold"/>
          <w:b/>
        </w:rPr>
      </w:pPr>
    </w:p>
    <w:tbl>
      <w:tblPr>
        <w:tblStyle w:val="TableGrid"/>
        <w:tblW w:w="0" w:type="auto"/>
        <w:tblLook w:val="04A0" w:firstRow="1" w:lastRow="0" w:firstColumn="1" w:lastColumn="0" w:noHBand="0" w:noVBand="1"/>
      </w:tblPr>
      <w:tblGrid>
        <w:gridCol w:w="2263"/>
        <w:gridCol w:w="993"/>
        <w:gridCol w:w="3543"/>
        <w:gridCol w:w="1500"/>
      </w:tblGrid>
      <w:tr w:rsidR="00A65411" w14:paraId="196D5DD5" w14:textId="77777777" w:rsidTr="00532F86">
        <w:tc>
          <w:tcPr>
            <w:tcW w:w="2263" w:type="dxa"/>
          </w:tcPr>
          <w:p w14:paraId="23DC40AD" w14:textId="3BBDC881" w:rsidR="00A65411" w:rsidRPr="00A65411" w:rsidRDefault="00A65411" w:rsidP="00A65411">
            <w:pPr>
              <w:rPr>
                <w:rFonts w:ascii="Arial Bold" w:hAnsi="Arial Bold"/>
                <w:b/>
                <w:sz w:val="28"/>
              </w:rPr>
            </w:pPr>
            <w:r>
              <w:rPr>
                <w:rFonts w:ascii="Arial Bold" w:hAnsi="Arial Bold"/>
                <w:b/>
                <w:sz w:val="28"/>
              </w:rPr>
              <w:t>Pharmacy</w:t>
            </w:r>
          </w:p>
        </w:tc>
        <w:tc>
          <w:tcPr>
            <w:tcW w:w="993" w:type="dxa"/>
          </w:tcPr>
          <w:p w14:paraId="53AA0111" w14:textId="01D47D58" w:rsidR="00A65411" w:rsidRDefault="00032691">
            <w:pPr>
              <w:rPr>
                <w:rFonts w:ascii="Arial Bold" w:hAnsi="Arial Bold"/>
                <w:b/>
                <w:sz w:val="28"/>
              </w:rPr>
            </w:pPr>
            <w:r>
              <w:rPr>
                <w:rFonts w:ascii="Arial Bold" w:hAnsi="Arial Bold"/>
                <w:b/>
                <w:sz w:val="28"/>
              </w:rPr>
              <w:t>ODS</w:t>
            </w:r>
          </w:p>
        </w:tc>
        <w:tc>
          <w:tcPr>
            <w:tcW w:w="3543" w:type="dxa"/>
          </w:tcPr>
          <w:p w14:paraId="3BF7C94F" w14:textId="7D09F2C9" w:rsidR="00A65411" w:rsidRDefault="00856D05">
            <w:pPr>
              <w:rPr>
                <w:rFonts w:ascii="Arial Bold" w:hAnsi="Arial Bold"/>
                <w:b/>
                <w:sz w:val="28"/>
              </w:rPr>
            </w:pPr>
            <w:r>
              <w:rPr>
                <w:rFonts w:ascii="Arial Bold" w:hAnsi="Arial Bold"/>
                <w:b/>
                <w:sz w:val="28"/>
              </w:rPr>
              <w:t>Details</w:t>
            </w:r>
          </w:p>
        </w:tc>
        <w:tc>
          <w:tcPr>
            <w:tcW w:w="1500" w:type="dxa"/>
          </w:tcPr>
          <w:p w14:paraId="2BF2B743" w14:textId="23AF1F2C" w:rsidR="00A65411" w:rsidRDefault="00856D05">
            <w:pPr>
              <w:rPr>
                <w:rFonts w:ascii="Arial Bold" w:hAnsi="Arial Bold"/>
                <w:b/>
                <w:sz w:val="28"/>
              </w:rPr>
            </w:pPr>
            <w:r>
              <w:rPr>
                <w:rFonts w:ascii="Arial Bold" w:hAnsi="Arial Bold"/>
                <w:b/>
                <w:sz w:val="28"/>
              </w:rPr>
              <w:t>Effective from</w:t>
            </w:r>
          </w:p>
        </w:tc>
      </w:tr>
      <w:tr w:rsidR="00F878F9" w:rsidRPr="00E04B6A" w14:paraId="5ECB5FD4" w14:textId="77777777" w:rsidTr="00532F86">
        <w:tc>
          <w:tcPr>
            <w:tcW w:w="2263" w:type="dxa"/>
          </w:tcPr>
          <w:p w14:paraId="4F8EB30A" w14:textId="77777777" w:rsidR="00A65411" w:rsidRPr="00E04B6A" w:rsidRDefault="00A65411" w:rsidP="00A65411">
            <w:pPr>
              <w:rPr>
                <w:rFonts w:cs="Arial"/>
                <w:bCs/>
                <w:szCs w:val="24"/>
              </w:rPr>
            </w:pPr>
            <w:proofErr w:type="spellStart"/>
            <w:r w:rsidRPr="00E04B6A">
              <w:rPr>
                <w:rFonts w:cs="Arial"/>
                <w:bCs/>
                <w:szCs w:val="24"/>
              </w:rPr>
              <w:t>Bachu’s</w:t>
            </w:r>
            <w:proofErr w:type="spellEnd"/>
            <w:r w:rsidRPr="00E04B6A">
              <w:rPr>
                <w:rFonts w:cs="Arial"/>
                <w:bCs/>
                <w:szCs w:val="24"/>
              </w:rPr>
              <w:t xml:space="preserve"> Jade Pharmacy</w:t>
            </w:r>
          </w:p>
          <w:p w14:paraId="3077663E" w14:textId="77777777" w:rsidR="00A65411" w:rsidRPr="00E04B6A" w:rsidRDefault="00A65411" w:rsidP="00A65411">
            <w:pPr>
              <w:rPr>
                <w:rFonts w:cs="Arial"/>
                <w:bCs/>
                <w:szCs w:val="24"/>
              </w:rPr>
            </w:pPr>
            <w:r w:rsidRPr="00E04B6A">
              <w:rPr>
                <w:rFonts w:cs="Arial"/>
                <w:bCs/>
                <w:szCs w:val="24"/>
              </w:rPr>
              <w:t xml:space="preserve">708 Kenton Road, </w:t>
            </w:r>
          </w:p>
          <w:p w14:paraId="751970EF" w14:textId="6F9A29AB" w:rsidR="00F878F9" w:rsidRPr="00E04B6A" w:rsidRDefault="00A65411" w:rsidP="00A65411">
            <w:pPr>
              <w:rPr>
                <w:rFonts w:cs="Arial"/>
                <w:bCs/>
                <w:szCs w:val="24"/>
              </w:rPr>
            </w:pPr>
            <w:r w:rsidRPr="00E04B6A">
              <w:rPr>
                <w:rFonts w:cs="Arial"/>
                <w:bCs/>
                <w:szCs w:val="24"/>
              </w:rPr>
              <w:t>Kenton HA3 9QX</w:t>
            </w:r>
          </w:p>
        </w:tc>
        <w:tc>
          <w:tcPr>
            <w:tcW w:w="993" w:type="dxa"/>
          </w:tcPr>
          <w:p w14:paraId="6C0E7406" w14:textId="0A51BEF5" w:rsidR="00F878F9" w:rsidRPr="00E04B6A" w:rsidRDefault="00032691">
            <w:pPr>
              <w:rPr>
                <w:rFonts w:cs="Arial"/>
                <w:bCs/>
                <w:szCs w:val="24"/>
              </w:rPr>
            </w:pPr>
            <w:r w:rsidRPr="00E04B6A">
              <w:rPr>
                <w:rFonts w:cs="Arial"/>
                <w:bCs/>
                <w:szCs w:val="24"/>
              </w:rPr>
              <w:t>FCG50</w:t>
            </w:r>
          </w:p>
        </w:tc>
        <w:tc>
          <w:tcPr>
            <w:tcW w:w="3543" w:type="dxa"/>
          </w:tcPr>
          <w:p w14:paraId="0185EAC4" w14:textId="23453092" w:rsidR="00F878F9" w:rsidRPr="00E04B6A" w:rsidRDefault="00856D05">
            <w:pPr>
              <w:rPr>
                <w:rFonts w:cs="Arial"/>
                <w:bCs/>
                <w:szCs w:val="24"/>
              </w:rPr>
            </w:pPr>
            <w:r w:rsidRPr="00E04B6A">
              <w:rPr>
                <w:rFonts w:cs="Arial"/>
                <w:bCs/>
                <w:szCs w:val="24"/>
              </w:rPr>
              <w:t>Has closed and has been removed from the pharmaceutical list for Harrow Health and Wellbeing Board area</w:t>
            </w:r>
          </w:p>
        </w:tc>
        <w:tc>
          <w:tcPr>
            <w:tcW w:w="1500" w:type="dxa"/>
          </w:tcPr>
          <w:p w14:paraId="098C19ED" w14:textId="32590343" w:rsidR="00F878F9" w:rsidRPr="00E04B6A" w:rsidRDefault="00856D05">
            <w:pPr>
              <w:rPr>
                <w:rFonts w:cs="Arial"/>
                <w:bCs/>
                <w:szCs w:val="24"/>
              </w:rPr>
            </w:pPr>
            <w:r w:rsidRPr="00E04B6A">
              <w:rPr>
                <w:rFonts w:cs="Arial"/>
                <w:bCs/>
                <w:szCs w:val="24"/>
              </w:rPr>
              <w:t>18/11/2022</w:t>
            </w:r>
          </w:p>
        </w:tc>
      </w:tr>
    </w:tbl>
    <w:p w14:paraId="2E732199" w14:textId="77777777" w:rsidR="00856D05" w:rsidRDefault="00856D05">
      <w:pPr>
        <w:rPr>
          <w:rFonts w:ascii="Arial Bold" w:hAnsi="Arial Bold"/>
          <w:b/>
          <w:sz w:val="28"/>
        </w:rPr>
      </w:pPr>
    </w:p>
    <w:p w14:paraId="717EE246" w14:textId="77777777" w:rsidR="004674DA" w:rsidRDefault="004674DA">
      <w:pPr>
        <w:rPr>
          <w:rFonts w:ascii="Arial Bold" w:hAnsi="Arial Bold"/>
          <w:b/>
          <w:sz w:val="28"/>
        </w:rPr>
      </w:pPr>
      <w:r w:rsidRPr="004674DA">
        <w:rPr>
          <w:rFonts w:ascii="Arial Bold" w:hAnsi="Arial Bold"/>
          <w:b/>
          <w:sz w:val="28"/>
        </w:rPr>
        <w:t>Consolidation of two pharmacies into one</w:t>
      </w:r>
    </w:p>
    <w:p w14:paraId="65575AE8" w14:textId="61E66D90" w:rsidR="00FA7D7A" w:rsidRDefault="00FA7D7A">
      <w:pPr>
        <w:rPr>
          <w:rFonts w:ascii="Arial Bold" w:hAnsi="Arial Bold"/>
          <w:b/>
          <w:sz w:val="28"/>
        </w:rPr>
      </w:pPr>
    </w:p>
    <w:tbl>
      <w:tblPr>
        <w:tblStyle w:val="TableGrid"/>
        <w:tblW w:w="0" w:type="auto"/>
        <w:tblLook w:val="04A0" w:firstRow="1" w:lastRow="0" w:firstColumn="1" w:lastColumn="0" w:noHBand="0" w:noVBand="1"/>
      </w:tblPr>
      <w:tblGrid>
        <w:gridCol w:w="2263"/>
        <w:gridCol w:w="993"/>
        <w:gridCol w:w="3543"/>
        <w:gridCol w:w="1500"/>
      </w:tblGrid>
      <w:tr w:rsidR="00DD372F" w:rsidRPr="00532F86" w14:paraId="2288D033" w14:textId="77777777" w:rsidTr="00532F86">
        <w:tc>
          <w:tcPr>
            <w:tcW w:w="2263" w:type="dxa"/>
          </w:tcPr>
          <w:p w14:paraId="79ACF5EF" w14:textId="3C5046DE" w:rsidR="00DD372F" w:rsidRPr="00532F86" w:rsidRDefault="00DD372F" w:rsidP="00DD372F">
            <w:pPr>
              <w:rPr>
                <w:rFonts w:cs="Arial"/>
                <w:b/>
                <w:bCs/>
                <w:szCs w:val="24"/>
              </w:rPr>
            </w:pPr>
            <w:r w:rsidRPr="00532F86">
              <w:rPr>
                <w:rFonts w:cs="Arial"/>
                <w:b/>
                <w:bCs/>
                <w:szCs w:val="24"/>
              </w:rPr>
              <w:t>Pharmacy</w:t>
            </w:r>
          </w:p>
        </w:tc>
        <w:tc>
          <w:tcPr>
            <w:tcW w:w="993" w:type="dxa"/>
          </w:tcPr>
          <w:p w14:paraId="7B63CF53" w14:textId="6EBB8A16" w:rsidR="00DD372F" w:rsidRPr="00532F86" w:rsidRDefault="00DD372F" w:rsidP="00DD372F">
            <w:pPr>
              <w:rPr>
                <w:rFonts w:cs="Arial"/>
                <w:b/>
                <w:bCs/>
                <w:szCs w:val="24"/>
              </w:rPr>
            </w:pPr>
            <w:r w:rsidRPr="00532F86">
              <w:rPr>
                <w:rFonts w:cs="Arial"/>
                <w:b/>
                <w:bCs/>
                <w:szCs w:val="24"/>
              </w:rPr>
              <w:t>ODS</w:t>
            </w:r>
          </w:p>
        </w:tc>
        <w:tc>
          <w:tcPr>
            <w:tcW w:w="3543" w:type="dxa"/>
          </w:tcPr>
          <w:p w14:paraId="3F15ACF2" w14:textId="2BAD6D39" w:rsidR="00DD372F" w:rsidRPr="00532F86" w:rsidRDefault="00DD372F" w:rsidP="00DD372F">
            <w:pPr>
              <w:rPr>
                <w:rFonts w:cs="Arial"/>
                <w:b/>
                <w:bCs/>
                <w:szCs w:val="24"/>
              </w:rPr>
            </w:pPr>
            <w:r w:rsidRPr="00532F86">
              <w:rPr>
                <w:rFonts w:cs="Arial"/>
                <w:b/>
                <w:bCs/>
                <w:szCs w:val="24"/>
              </w:rPr>
              <w:t>Details</w:t>
            </w:r>
          </w:p>
        </w:tc>
        <w:tc>
          <w:tcPr>
            <w:tcW w:w="1500" w:type="dxa"/>
          </w:tcPr>
          <w:p w14:paraId="3D989B41" w14:textId="3743E7AB" w:rsidR="00DD372F" w:rsidRPr="00532F86" w:rsidRDefault="00DD372F" w:rsidP="00DD372F">
            <w:pPr>
              <w:rPr>
                <w:rFonts w:cs="Arial"/>
                <w:b/>
                <w:bCs/>
                <w:szCs w:val="24"/>
              </w:rPr>
            </w:pPr>
            <w:r w:rsidRPr="00532F86">
              <w:rPr>
                <w:rFonts w:cs="Arial"/>
                <w:b/>
                <w:bCs/>
                <w:szCs w:val="24"/>
              </w:rPr>
              <w:t>Effective from</w:t>
            </w:r>
          </w:p>
        </w:tc>
      </w:tr>
      <w:tr w:rsidR="004674DA" w14:paraId="778ADF2E" w14:textId="77777777" w:rsidTr="00532F86">
        <w:tc>
          <w:tcPr>
            <w:tcW w:w="2263" w:type="dxa"/>
          </w:tcPr>
          <w:p w14:paraId="75A80838" w14:textId="3D3E04C8" w:rsidR="004674DA" w:rsidRPr="00E04B6A" w:rsidRDefault="000E3955">
            <w:pPr>
              <w:rPr>
                <w:rFonts w:cs="Arial"/>
                <w:b/>
                <w:szCs w:val="24"/>
              </w:rPr>
            </w:pPr>
            <w:r w:rsidRPr="00E04B6A">
              <w:rPr>
                <w:rFonts w:cs="Arial"/>
                <w:b/>
                <w:bCs/>
                <w:szCs w:val="24"/>
              </w:rPr>
              <w:t>Closing:</w:t>
            </w:r>
            <w:r w:rsidRPr="00E04B6A">
              <w:rPr>
                <w:rFonts w:cs="Arial"/>
                <w:szCs w:val="24"/>
              </w:rPr>
              <w:t xml:space="preserve"> </w:t>
            </w:r>
            <w:proofErr w:type="spellStart"/>
            <w:r w:rsidRPr="00E04B6A">
              <w:rPr>
                <w:rFonts w:cs="Arial"/>
                <w:szCs w:val="24"/>
              </w:rPr>
              <w:t>Wellcare</w:t>
            </w:r>
            <w:proofErr w:type="spellEnd"/>
            <w:r w:rsidRPr="00E04B6A">
              <w:rPr>
                <w:rFonts w:cs="Arial"/>
                <w:szCs w:val="24"/>
              </w:rPr>
              <w:t xml:space="preserve"> Pharmacy, 2 Weald Lane, Harrow Weald HA3 5ES </w:t>
            </w:r>
          </w:p>
        </w:tc>
        <w:tc>
          <w:tcPr>
            <w:tcW w:w="993" w:type="dxa"/>
          </w:tcPr>
          <w:p w14:paraId="4A50486D" w14:textId="5BDCE06F" w:rsidR="004674DA" w:rsidRPr="00E04B6A" w:rsidRDefault="00BF48F7">
            <w:pPr>
              <w:rPr>
                <w:rFonts w:cs="Arial"/>
                <w:b/>
                <w:szCs w:val="24"/>
              </w:rPr>
            </w:pPr>
            <w:r w:rsidRPr="00E04B6A">
              <w:rPr>
                <w:rFonts w:cs="Arial"/>
                <w:szCs w:val="24"/>
              </w:rPr>
              <w:t xml:space="preserve">GH519 </w:t>
            </w:r>
          </w:p>
        </w:tc>
        <w:tc>
          <w:tcPr>
            <w:tcW w:w="3543" w:type="dxa"/>
          </w:tcPr>
          <w:p w14:paraId="04F74FA6" w14:textId="69BAED6E" w:rsidR="004674DA" w:rsidRPr="00E04B6A" w:rsidRDefault="00BF48F7">
            <w:pPr>
              <w:rPr>
                <w:rFonts w:cs="Arial"/>
                <w:b/>
                <w:szCs w:val="24"/>
              </w:rPr>
            </w:pPr>
            <w:r w:rsidRPr="00E04B6A">
              <w:rPr>
                <w:rFonts w:cs="Arial"/>
                <w:szCs w:val="24"/>
              </w:rPr>
              <w:t>Has closed and has been removed from the pharmaceutical list for Harrow Health and Wellbeing Board area</w:t>
            </w:r>
          </w:p>
        </w:tc>
        <w:tc>
          <w:tcPr>
            <w:tcW w:w="1500" w:type="dxa"/>
          </w:tcPr>
          <w:p w14:paraId="1EB742D0" w14:textId="439AFA22" w:rsidR="004674DA" w:rsidRPr="00E04B6A" w:rsidRDefault="00BF48F7">
            <w:pPr>
              <w:rPr>
                <w:rFonts w:cs="Arial"/>
                <w:b/>
                <w:szCs w:val="24"/>
              </w:rPr>
            </w:pPr>
            <w:r w:rsidRPr="00E04B6A">
              <w:rPr>
                <w:rFonts w:cs="Arial"/>
                <w:szCs w:val="24"/>
              </w:rPr>
              <w:t>06/02/2023</w:t>
            </w:r>
          </w:p>
        </w:tc>
      </w:tr>
      <w:tr w:rsidR="004674DA" w14:paraId="3FD7A997" w14:textId="77777777" w:rsidTr="00532F86">
        <w:tc>
          <w:tcPr>
            <w:tcW w:w="2263" w:type="dxa"/>
          </w:tcPr>
          <w:p w14:paraId="25A0DBB4" w14:textId="4C8E6FF8" w:rsidR="004674DA" w:rsidRPr="00E04B6A" w:rsidRDefault="003E757E">
            <w:pPr>
              <w:rPr>
                <w:rFonts w:cs="Arial"/>
                <w:b/>
                <w:szCs w:val="24"/>
              </w:rPr>
            </w:pPr>
            <w:r w:rsidRPr="00E04B6A">
              <w:rPr>
                <w:rFonts w:cs="Arial"/>
                <w:b/>
                <w:bCs/>
                <w:szCs w:val="24"/>
              </w:rPr>
              <w:t>Remaining:</w:t>
            </w:r>
            <w:r w:rsidRPr="00E04B6A">
              <w:rPr>
                <w:rFonts w:cs="Arial"/>
                <w:szCs w:val="24"/>
              </w:rPr>
              <w:t xml:space="preserve"> </w:t>
            </w:r>
            <w:proofErr w:type="spellStart"/>
            <w:r w:rsidRPr="00E04B6A">
              <w:rPr>
                <w:rFonts w:cs="Arial"/>
                <w:szCs w:val="24"/>
              </w:rPr>
              <w:t>Wellcare</w:t>
            </w:r>
            <w:proofErr w:type="spellEnd"/>
            <w:r w:rsidRPr="00E04B6A">
              <w:rPr>
                <w:rFonts w:cs="Arial"/>
                <w:szCs w:val="24"/>
              </w:rPr>
              <w:t xml:space="preserve"> Pharmacy, 385 High Road, Harrow Weald HA3 6EL</w:t>
            </w:r>
          </w:p>
        </w:tc>
        <w:tc>
          <w:tcPr>
            <w:tcW w:w="993" w:type="dxa"/>
          </w:tcPr>
          <w:p w14:paraId="271942C3" w14:textId="7E3E81F9" w:rsidR="004674DA" w:rsidRPr="00532F86" w:rsidRDefault="003E757E">
            <w:pPr>
              <w:rPr>
                <w:rFonts w:cs="Arial"/>
                <w:bCs/>
                <w:szCs w:val="24"/>
              </w:rPr>
            </w:pPr>
            <w:r w:rsidRPr="00532F86">
              <w:rPr>
                <w:rFonts w:cs="Arial"/>
                <w:bCs/>
                <w:szCs w:val="24"/>
              </w:rPr>
              <w:t>FKM10</w:t>
            </w:r>
          </w:p>
        </w:tc>
        <w:tc>
          <w:tcPr>
            <w:tcW w:w="3543" w:type="dxa"/>
          </w:tcPr>
          <w:p w14:paraId="7921D1FA" w14:textId="77777777" w:rsidR="00E04B6A" w:rsidRPr="00532F86" w:rsidRDefault="00E04B6A" w:rsidP="00E04B6A">
            <w:pPr>
              <w:rPr>
                <w:rFonts w:cs="Arial"/>
                <w:bCs/>
                <w:szCs w:val="24"/>
              </w:rPr>
            </w:pPr>
            <w:r w:rsidRPr="00532F86">
              <w:rPr>
                <w:rFonts w:cs="Arial"/>
                <w:bCs/>
                <w:szCs w:val="24"/>
              </w:rPr>
              <w:t xml:space="preserve">Updated new opening hours: </w:t>
            </w:r>
          </w:p>
          <w:p w14:paraId="21814B4C" w14:textId="77777777" w:rsidR="00E04B6A" w:rsidRPr="00532F86" w:rsidRDefault="00E04B6A" w:rsidP="00E04B6A">
            <w:pPr>
              <w:rPr>
                <w:rFonts w:cs="Arial"/>
                <w:bCs/>
                <w:szCs w:val="24"/>
              </w:rPr>
            </w:pPr>
            <w:r w:rsidRPr="00532F86">
              <w:rPr>
                <w:rFonts w:cs="Arial"/>
                <w:bCs/>
                <w:szCs w:val="24"/>
              </w:rPr>
              <w:t xml:space="preserve">Mon-Fri 09:00-19:00; </w:t>
            </w:r>
          </w:p>
          <w:p w14:paraId="7832769A" w14:textId="77777777" w:rsidR="00E04B6A" w:rsidRPr="00532F86" w:rsidRDefault="00E04B6A" w:rsidP="00E04B6A">
            <w:pPr>
              <w:rPr>
                <w:rFonts w:cs="Arial"/>
                <w:bCs/>
                <w:szCs w:val="24"/>
              </w:rPr>
            </w:pPr>
            <w:r w:rsidRPr="00532F86">
              <w:rPr>
                <w:rFonts w:cs="Arial"/>
                <w:bCs/>
                <w:szCs w:val="24"/>
              </w:rPr>
              <w:t xml:space="preserve">Sat 09:00-17:30; </w:t>
            </w:r>
          </w:p>
          <w:p w14:paraId="0F22F96D" w14:textId="42FCE389" w:rsidR="004674DA" w:rsidRPr="00532F86" w:rsidRDefault="00E04B6A" w:rsidP="00E04B6A">
            <w:pPr>
              <w:rPr>
                <w:rFonts w:cs="Arial"/>
                <w:bCs/>
                <w:szCs w:val="24"/>
              </w:rPr>
            </w:pPr>
            <w:r w:rsidRPr="00532F86">
              <w:rPr>
                <w:rFonts w:cs="Arial"/>
                <w:bCs/>
                <w:szCs w:val="24"/>
              </w:rPr>
              <w:t>Sun Closed</w:t>
            </w:r>
          </w:p>
        </w:tc>
        <w:tc>
          <w:tcPr>
            <w:tcW w:w="1500" w:type="dxa"/>
          </w:tcPr>
          <w:p w14:paraId="4BC7821E" w14:textId="245F1FC1" w:rsidR="004674DA" w:rsidRPr="00532F86" w:rsidRDefault="00E04B6A">
            <w:pPr>
              <w:rPr>
                <w:rFonts w:cs="Arial"/>
                <w:bCs/>
                <w:szCs w:val="24"/>
              </w:rPr>
            </w:pPr>
            <w:r w:rsidRPr="00532F86">
              <w:rPr>
                <w:rFonts w:cs="Arial"/>
                <w:bCs/>
                <w:szCs w:val="24"/>
              </w:rPr>
              <w:t>06/02/2023</w:t>
            </w:r>
          </w:p>
        </w:tc>
      </w:tr>
    </w:tbl>
    <w:p w14:paraId="7A398167" w14:textId="77777777" w:rsidR="00532F86" w:rsidRDefault="00532F86" w:rsidP="001976BF">
      <w:pPr>
        <w:rPr>
          <w:rFonts w:ascii="Arial Bold" w:hAnsi="Arial Bold"/>
          <w:b/>
          <w:sz w:val="28"/>
        </w:rPr>
      </w:pPr>
    </w:p>
    <w:p w14:paraId="37451999" w14:textId="48422157" w:rsidR="00B477F4" w:rsidRPr="00B477F4" w:rsidRDefault="000507FB" w:rsidP="000507FB">
      <w:pPr>
        <w:rPr>
          <w:rFonts w:cs="Arial"/>
          <w:bCs/>
          <w:szCs w:val="24"/>
        </w:rPr>
      </w:pPr>
      <w:r w:rsidRPr="00B477F4">
        <w:rPr>
          <w:rFonts w:cs="Arial"/>
          <w:bCs/>
          <w:szCs w:val="24"/>
        </w:rPr>
        <w:t xml:space="preserve">It is the opinion of Harrow Health and Wellbeing board that the removal of this pharmacy from the pharmaceutical list does not create a gap in </w:t>
      </w:r>
      <w:r w:rsidR="00B477F4">
        <w:rPr>
          <w:rFonts w:cs="Arial"/>
          <w:bCs/>
          <w:szCs w:val="24"/>
        </w:rPr>
        <w:t>p</w:t>
      </w:r>
      <w:r w:rsidRPr="00B477F4">
        <w:rPr>
          <w:rFonts w:cs="Arial"/>
          <w:bCs/>
          <w:szCs w:val="24"/>
        </w:rPr>
        <w:t>harmaceutical services provision that could be met by a routine application (a) to meet a current or future need for pharmaceutical services, or (b) to secure improvements, or better access, to pharmaceutical services.</w:t>
      </w:r>
    </w:p>
    <w:p w14:paraId="79048122" w14:textId="77777777" w:rsidR="00B477F4" w:rsidRDefault="00B477F4" w:rsidP="00A21809">
      <w:pPr>
        <w:rPr>
          <w:rFonts w:cs="Arial"/>
          <w:bCs/>
          <w:szCs w:val="24"/>
        </w:rPr>
      </w:pPr>
    </w:p>
    <w:p w14:paraId="5024DC9E" w14:textId="2C05E3E5" w:rsidR="00A21809" w:rsidRPr="00B477F4" w:rsidRDefault="000507FB" w:rsidP="00A21809">
      <w:pPr>
        <w:rPr>
          <w:rFonts w:cs="Arial"/>
          <w:bCs/>
          <w:szCs w:val="24"/>
        </w:rPr>
      </w:pPr>
      <w:r w:rsidRPr="00B477F4">
        <w:rPr>
          <w:rFonts w:cs="Arial"/>
          <w:bCs/>
          <w:szCs w:val="24"/>
        </w:rPr>
        <w:t>Supplementary Statement prepared by Soar Beyond Ltd and issued by Carole Furlong, Director of Public Health, on beh</w:t>
      </w:r>
      <w:r w:rsidR="00A21809" w:rsidRPr="00B477F4">
        <w:rPr>
          <w:rFonts w:cs="Arial"/>
          <w:bCs/>
          <w:szCs w:val="24"/>
        </w:rPr>
        <w:t xml:space="preserve">alf of Harrow Health and Wellbeing Board. </w:t>
      </w:r>
    </w:p>
    <w:p w14:paraId="5F5590C2" w14:textId="77777777" w:rsidR="00A21809" w:rsidRDefault="00A21809" w:rsidP="00A21809">
      <w:pPr>
        <w:rPr>
          <w:rFonts w:cs="Arial"/>
          <w:bCs/>
          <w:sz w:val="28"/>
        </w:rPr>
      </w:pPr>
    </w:p>
    <w:p w14:paraId="3750173B" w14:textId="77777777" w:rsidR="00B477F4" w:rsidRPr="00A21809" w:rsidRDefault="00B477F4" w:rsidP="00A21809">
      <w:pPr>
        <w:rPr>
          <w:rFonts w:cs="Arial"/>
          <w:bCs/>
          <w:sz w:val="28"/>
        </w:rPr>
      </w:pPr>
    </w:p>
    <w:p w14:paraId="5E0249F7" w14:textId="1946AE4F" w:rsidR="001976BF" w:rsidRPr="001976BF" w:rsidRDefault="001976BF" w:rsidP="001976BF">
      <w:pPr>
        <w:rPr>
          <w:rFonts w:ascii="Arial Bold" w:hAnsi="Arial Bold"/>
          <w:b/>
          <w:sz w:val="28"/>
        </w:rPr>
      </w:pPr>
      <w:r w:rsidRPr="001976BF">
        <w:rPr>
          <w:rFonts w:ascii="Arial Bold" w:hAnsi="Arial Bold"/>
          <w:b/>
          <w:sz w:val="28"/>
        </w:rPr>
        <w:lastRenderedPageBreak/>
        <w:t>Ward Councillors’ comments</w:t>
      </w:r>
      <w:r w:rsidR="008359FF">
        <w:rPr>
          <w:rFonts w:ascii="Arial Bold" w:hAnsi="Arial Bold"/>
          <w:b/>
          <w:sz w:val="28"/>
        </w:rPr>
        <w:t xml:space="preserve"> N/A</w:t>
      </w:r>
    </w:p>
    <w:p w14:paraId="18DC72AF" w14:textId="77777777" w:rsidR="002A2389" w:rsidRDefault="002A2389" w:rsidP="00FF4BB9">
      <w:pPr>
        <w:pStyle w:val="Heading3"/>
      </w:pPr>
      <w:r>
        <w:t>Financial Implications</w:t>
      </w:r>
      <w:r w:rsidR="00BE1C78">
        <w:t xml:space="preserve">/Comments </w:t>
      </w:r>
    </w:p>
    <w:p w14:paraId="76C29034" w14:textId="77777777" w:rsidR="009A2C88" w:rsidRDefault="009A2C88" w:rsidP="001976BF">
      <w:pPr>
        <w:spacing w:after="240"/>
      </w:pPr>
      <w:r>
        <w:t xml:space="preserve">The costs of carrying out the Pharmaceutical Needs Assessment of £26k were funded by the ringfenced Public Health Grant in 2021-22. </w:t>
      </w:r>
    </w:p>
    <w:p w14:paraId="5C2850E8" w14:textId="7FADF866" w:rsidR="001417FD" w:rsidRDefault="009A2C88" w:rsidP="001976BF">
      <w:pPr>
        <w:spacing w:after="240"/>
      </w:pPr>
      <w:r>
        <w:t>There are no additional financial implications arising from this report.</w:t>
      </w:r>
    </w:p>
    <w:p w14:paraId="11B4AA01" w14:textId="77777777" w:rsidR="001417FD" w:rsidRDefault="001417FD" w:rsidP="00FF4BB9">
      <w:pPr>
        <w:pStyle w:val="Heading3"/>
      </w:pPr>
      <w:r w:rsidRPr="001417FD">
        <w:t xml:space="preserve">Legal Implications/Comments </w:t>
      </w:r>
    </w:p>
    <w:p w14:paraId="0AA861D8" w14:textId="053976FB" w:rsidR="00BE3FA0" w:rsidRDefault="00BE3FA0" w:rsidP="00BE3FA0">
      <w:r>
        <w:t>The Health and Social Care Act 2012 established health and wellbeing boards. It also transferred responsibility to develop and update pharmaceutical needs assessments from primary care trusts to health and wellbeing boards with effect from 1 April 2013. The relevant regulations governing the content of the needs assessment are The National Health Service (Pharmaceutical and Local Pharmaceutical Services) Regulations 2013</w:t>
      </w:r>
      <w:r w:rsidR="003E17DE">
        <w:t>.</w:t>
      </w:r>
    </w:p>
    <w:p w14:paraId="2451130A" w14:textId="77777777" w:rsidR="00BE3FA0" w:rsidRPr="00BE3FA0" w:rsidRDefault="00BE3FA0" w:rsidP="00BE3FA0">
      <w:pPr>
        <w:rPr>
          <w:rFonts w:ascii="Calibri" w:hAnsi="Calibri"/>
          <w:sz w:val="22"/>
        </w:rPr>
      </w:pPr>
    </w:p>
    <w:p w14:paraId="5AEA940C" w14:textId="5DE3F931" w:rsidR="001417FD" w:rsidRDefault="00BE3FA0">
      <w:r>
        <w:t xml:space="preserve">The terms of reference of the Health and Wellbeing Board include production a Pharmaceutical Needs Assessment and revision every three years </w:t>
      </w:r>
    </w:p>
    <w:p w14:paraId="743E6639" w14:textId="77777777" w:rsidR="00C32DAE" w:rsidRDefault="00C32DAE" w:rsidP="00FF4BB9">
      <w:pPr>
        <w:pStyle w:val="Heading3"/>
      </w:pPr>
      <w:r>
        <w:t>Risk Management Implications</w:t>
      </w:r>
    </w:p>
    <w:p w14:paraId="62729A13" w14:textId="098351E0" w:rsidR="001E7655" w:rsidRDefault="00A942B5" w:rsidP="001E7655">
      <w:pPr>
        <w:tabs>
          <w:tab w:val="left" w:pos="5610"/>
        </w:tabs>
        <w:ind w:left="567" w:right="81" w:hanging="567"/>
        <w:rPr>
          <w:rFonts w:cs="Arial"/>
          <w:szCs w:val="24"/>
          <w:lang w:val="en-US"/>
        </w:rPr>
      </w:pPr>
      <w:r>
        <w:rPr>
          <w:rFonts w:cs="Arial"/>
          <w:szCs w:val="24"/>
          <w:lang w:val="en-US"/>
        </w:rPr>
        <w:t>The PNA does not present any risks</w:t>
      </w:r>
      <w:r w:rsidR="007978FF">
        <w:rPr>
          <w:rFonts w:cs="Arial"/>
          <w:szCs w:val="24"/>
          <w:lang w:val="en-US"/>
        </w:rPr>
        <w:t>, or suggest any mitigation</w:t>
      </w:r>
    </w:p>
    <w:p w14:paraId="0DE8B3A7" w14:textId="77777777" w:rsidR="007978FF" w:rsidRDefault="007978FF" w:rsidP="001E7655">
      <w:pPr>
        <w:tabs>
          <w:tab w:val="left" w:pos="5610"/>
        </w:tabs>
        <w:ind w:left="567" w:right="81" w:hanging="567"/>
        <w:rPr>
          <w:rFonts w:cs="Arial"/>
          <w:szCs w:val="24"/>
          <w:lang w:val="en-US"/>
        </w:rPr>
      </w:pPr>
    </w:p>
    <w:p w14:paraId="618DAEDB" w14:textId="52306888" w:rsidR="001E7655" w:rsidRPr="00105B8A" w:rsidRDefault="001E7655" w:rsidP="001E7655">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1379ED3D" w14:textId="77777777" w:rsidR="001E7655" w:rsidRDefault="001E7655" w:rsidP="001E7655">
      <w:pPr>
        <w:ind w:left="-142" w:right="141"/>
        <w:rPr>
          <w:rFonts w:cs="Arial"/>
          <w:szCs w:val="24"/>
          <w:lang w:val="en-US" w:eastAsia="en-GB"/>
        </w:rPr>
      </w:pPr>
      <w:r>
        <w:rPr>
          <w:rFonts w:cs="Arial"/>
          <w:szCs w:val="24"/>
          <w:lang w:val="en-US" w:eastAsia="en-GB"/>
        </w:rPr>
        <w:t xml:space="preserve">  </w:t>
      </w:r>
    </w:p>
    <w:p w14:paraId="478F034B" w14:textId="0E268367" w:rsidR="001E7655" w:rsidRDefault="001E7655" w:rsidP="001E7655">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p>
    <w:p w14:paraId="547E2EAF" w14:textId="77777777" w:rsidR="001E7655" w:rsidRDefault="001E7655" w:rsidP="001E7655">
      <w:pPr>
        <w:tabs>
          <w:tab w:val="left" w:pos="5610"/>
        </w:tabs>
        <w:ind w:left="567" w:right="81" w:hanging="567"/>
      </w:pPr>
    </w:p>
    <w:p w14:paraId="07D1D2A2" w14:textId="68BDBF7E" w:rsidR="001E7655" w:rsidRDefault="001E7655" w:rsidP="001E7655">
      <w:pPr>
        <w:tabs>
          <w:tab w:val="left" w:pos="5610"/>
        </w:tabs>
        <w:ind w:right="81"/>
      </w:pPr>
      <w:r>
        <w:t xml:space="preserve">The relevant risks contained in the register are attached/summarised below. </w:t>
      </w:r>
      <w:r>
        <w:rPr>
          <w:rFonts w:cs="Arial"/>
          <w:b/>
          <w:bCs/>
          <w:szCs w:val="24"/>
          <w:lang w:val="en-US" w:eastAsia="en-GB"/>
        </w:rPr>
        <w:t xml:space="preserve">n/a </w:t>
      </w:r>
    </w:p>
    <w:p w14:paraId="78EC3061" w14:textId="77777777" w:rsidR="00FD31A0" w:rsidRPr="00A50388" w:rsidRDefault="00A50388" w:rsidP="00FF4BB9">
      <w:pPr>
        <w:pStyle w:val="Heading3"/>
        <w:rPr>
          <w:color w:val="FF0000"/>
        </w:rPr>
      </w:pPr>
      <w:bookmarkStart w:id="0" w:name="_Hlk60923639"/>
      <w:bookmarkEnd w:id="0"/>
      <w:r>
        <w:t>Equalities implications / Public Sector Equality Duty</w:t>
      </w:r>
    </w:p>
    <w:p w14:paraId="1808E669" w14:textId="4BB90455" w:rsidR="00FD31A0" w:rsidRPr="004A2543" w:rsidRDefault="00FD31A0" w:rsidP="00FD31A0">
      <w:r w:rsidRPr="004A2543">
        <w:t>Was an Equality Impact Assessment carried out?  Yes</w:t>
      </w:r>
    </w:p>
    <w:p w14:paraId="45EF9E9A" w14:textId="77777777" w:rsidR="00BD18C1" w:rsidRDefault="00BD18C1" w:rsidP="00FD31A0"/>
    <w:p w14:paraId="0EAA6084" w14:textId="15E0F7AF" w:rsidR="00BD18C1" w:rsidRDefault="00BD18C1" w:rsidP="00FD31A0">
      <w:pPr>
        <w:rPr>
          <w:rFonts w:cs="Arial"/>
          <w:bCs/>
          <w:lang w:eastAsia="en-GB"/>
        </w:rPr>
      </w:pPr>
      <w:r w:rsidRPr="00BD18C1">
        <w:rPr>
          <w:rFonts w:cs="Arial"/>
          <w:bCs/>
          <w:lang w:eastAsia="en-GB"/>
        </w:rPr>
        <w:t xml:space="preserve">The </w:t>
      </w:r>
      <w:proofErr w:type="spellStart"/>
      <w:r w:rsidRPr="00BD18C1">
        <w:rPr>
          <w:rFonts w:cs="Arial"/>
          <w:bCs/>
          <w:lang w:eastAsia="en-GB"/>
        </w:rPr>
        <w:t>EqIA</w:t>
      </w:r>
      <w:proofErr w:type="spellEnd"/>
      <w:r w:rsidRPr="00BD18C1">
        <w:rPr>
          <w:rFonts w:cs="Arial"/>
          <w:bCs/>
          <w:lang w:eastAsia="en-GB"/>
        </w:rPr>
        <w:t xml:space="preserve"> has not identified any potential for unlawful conduct or disproportionate impact and all opportunities to advance equality of opportunity are being addressed.</w:t>
      </w:r>
    </w:p>
    <w:p w14:paraId="728AA068" w14:textId="4B389996" w:rsidR="008359FF" w:rsidRDefault="008359FF" w:rsidP="00FD31A0">
      <w:pPr>
        <w:rPr>
          <w:rFonts w:cs="Arial"/>
          <w:bCs/>
          <w:lang w:eastAsia="en-GB"/>
        </w:rPr>
      </w:pPr>
    </w:p>
    <w:p w14:paraId="5568E73B" w14:textId="77777777" w:rsidR="008359FF" w:rsidRPr="00BD18C1" w:rsidRDefault="008359FF" w:rsidP="00FD31A0">
      <w:pPr>
        <w:rPr>
          <w:bCs/>
        </w:rPr>
      </w:pPr>
    </w:p>
    <w:p w14:paraId="785091BB" w14:textId="6CB5CF5C" w:rsidR="00D1109B" w:rsidRPr="00425466" w:rsidRDefault="002A2389" w:rsidP="00425466">
      <w:pPr>
        <w:pStyle w:val="Heading2"/>
      </w:pPr>
      <w:r w:rsidRPr="00FF4BB9">
        <w:lastRenderedPageBreak/>
        <w:t>Section 3 - Statutory Officer Clearance</w:t>
      </w:r>
      <w:r w:rsidR="00BE1C78" w:rsidRPr="00FF4BB9">
        <w:t xml:space="preserve"> </w:t>
      </w:r>
      <w:r w:rsidR="001417FD" w:rsidRPr="00FF4BB9">
        <w:t>(Council and Joint Reports)</w:t>
      </w:r>
    </w:p>
    <w:p w14:paraId="45F3BB61" w14:textId="77777777" w:rsidR="002A2389" w:rsidRDefault="002A2389" w:rsidP="008D1750">
      <w:pPr>
        <w:keepNext/>
        <w:rPr>
          <w:rFonts w:cs="Arial"/>
        </w:rPr>
      </w:pPr>
    </w:p>
    <w:p w14:paraId="3268493D" w14:textId="03058799" w:rsidR="00FF4BB9" w:rsidRPr="00A66326" w:rsidRDefault="00FF4BB9" w:rsidP="00FF4BB9">
      <w:pPr>
        <w:rPr>
          <w:sz w:val="28"/>
        </w:rPr>
      </w:pPr>
      <w:r w:rsidRPr="00A66326">
        <w:rPr>
          <w:b/>
          <w:sz w:val="28"/>
        </w:rPr>
        <w:t xml:space="preserve">Statutory Officer:  </w:t>
      </w:r>
      <w:r w:rsidR="00C20070">
        <w:rPr>
          <w:b/>
          <w:sz w:val="28"/>
        </w:rPr>
        <w:t>Donna Edwards</w:t>
      </w:r>
    </w:p>
    <w:p w14:paraId="65CE6A32" w14:textId="246471C3" w:rsidR="00FF4BB9" w:rsidRPr="00A66326" w:rsidRDefault="00FF4BB9" w:rsidP="00FF4BB9">
      <w:r w:rsidRPr="00A66326">
        <w:t>Signed on behalf of the Chief Financial Officer</w:t>
      </w:r>
    </w:p>
    <w:p w14:paraId="63A57E10" w14:textId="77777777" w:rsidR="00FF4BB9" w:rsidRPr="00A66326" w:rsidRDefault="00FF4BB9" w:rsidP="00FF4BB9">
      <w:pPr>
        <w:rPr>
          <w:sz w:val="28"/>
        </w:rPr>
      </w:pPr>
    </w:p>
    <w:p w14:paraId="5EE2177C" w14:textId="17EFF88E" w:rsidR="00FF4BB9" w:rsidRPr="00A66326" w:rsidRDefault="00FF4BB9" w:rsidP="00FF4BB9">
      <w:pPr>
        <w:spacing w:after="480"/>
        <w:rPr>
          <w:sz w:val="28"/>
        </w:rPr>
      </w:pPr>
      <w:r w:rsidRPr="00A66326">
        <w:rPr>
          <w:b/>
          <w:sz w:val="28"/>
        </w:rPr>
        <w:t xml:space="preserve">Date:  </w:t>
      </w:r>
      <w:r w:rsidR="00C20070">
        <w:rPr>
          <w:b/>
          <w:sz w:val="28"/>
        </w:rPr>
        <w:t>02/06/2023</w:t>
      </w:r>
    </w:p>
    <w:p w14:paraId="22ABCA90" w14:textId="5044402B" w:rsidR="00FF4BB9" w:rsidRPr="00A66326" w:rsidRDefault="00FF4BB9" w:rsidP="00FF4BB9">
      <w:pPr>
        <w:rPr>
          <w:sz w:val="28"/>
        </w:rPr>
      </w:pPr>
      <w:r w:rsidRPr="00A66326">
        <w:rPr>
          <w:b/>
          <w:sz w:val="28"/>
        </w:rPr>
        <w:t xml:space="preserve">Statutory Officer:  </w:t>
      </w:r>
      <w:r w:rsidR="00C20070">
        <w:rPr>
          <w:b/>
          <w:sz w:val="28"/>
        </w:rPr>
        <w:t>Sharon Clarke</w:t>
      </w:r>
    </w:p>
    <w:p w14:paraId="3386B9F9" w14:textId="4F90045E" w:rsidR="00FF4BB9" w:rsidRPr="00A66326" w:rsidRDefault="00FF4BB9" w:rsidP="00FF4BB9">
      <w:r w:rsidRPr="00A66326">
        <w:t>Signed on behalf of the Monitoring Officer</w:t>
      </w:r>
    </w:p>
    <w:p w14:paraId="5299601F" w14:textId="4E40A198" w:rsidR="00FF4BB9" w:rsidRPr="002548D1" w:rsidRDefault="00FF4BB9" w:rsidP="00FF4BB9">
      <w:pPr>
        <w:ind w:left="360" w:hanging="360"/>
        <w:jc w:val="both"/>
        <w:rPr>
          <w:rFonts w:cs="Arial"/>
          <w:color w:val="FF0000"/>
        </w:rPr>
      </w:pPr>
    </w:p>
    <w:p w14:paraId="610956DB" w14:textId="77777777" w:rsidR="00FF4BB9" w:rsidRPr="00A66326" w:rsidRDefault="00FF4BB9" w:rsidP="00FF4BB9">
      <w:pPr>
        <w:rPr>
          <w:sz w:val="28"/>
        </w:rPr>
      </w:pPr>
    </w:p>
    <w:p w14:paraId="3E560858" w14:textId="5FCBCB2D" w:rsidR="00FF4BB9" w:rsidRPr="003313EA" w:rsidRDefault="00FF4BB9" w:rsidP="00FF4BB9">
      <w:pPr>
        <w:spacing w:after="480"/>
        <w:rPr>
          <w:sz w:val="28"/>
        </w:rPr>
      </w:pPr>
      <w:r w:rsidRPr="00A66326">
        <w:rPr>
          <w:b/>
          <w:sz w:val="28"/>
        </w:rPr>
        <w:t xml:space="preserve">Date:  </w:t>
      </w:r>
      <w:r w:rsidR="00C20070">
        <w:rPr>
          <w:b/>
          <w:sz w:val="28"/>
        </w:rPr>
        <w:t>05/06/2023</w:t>
      </w:r>
    </w:p>
    <w:p w14:paraId="058AEA52" w14:textId="27B6F2C3" w:rsidR="00FF4BB9" w:rsidRPr="00A66326" w:rsidRDefault="001E7655" w:rsidP="00FF4BB9">
      <w:pPr>
        <w:rPr>
          <w:sz w:val="28"/>
        </w:rPr>
      </w:pPr>
      <w:r>
        <w:rPr>
          <w:b/>
          <w:sz w:val="28"/>
        </w:rPr>
        <w:t>Chief</w:t>
      </w:r>
      <w:r w:rsidR="00FF4BB9" w:rsidRPr="00A66326">
        <w:rPr>
          <w:b/>
          <w:sz w:val="28"/>
        </w:rPr>
        <w:t xml:space="preserve"> Officer:  </w:t>
      </w:r>
      <w:r w:rsidR="008727A5">
        <w:rPr>
          <w:b/>
          <w:sz w:val="28"/>
        </w:rPr>
        <w:t xml:space="preserve">Senel Arkut </w:t>
      </w:r>
    </w:p>
    <w:p w14:paraId="3D4BF0CE" w14:textId="77777777" w:rsidR="00FF4BB9" w:rsidRPr="00A66326" w:rsidRDefault="002C1D70" w:rsidP="00FF4BB9">
      <w:r>
        <w:t xml:space="preserve">Signed </w:t>
      </w:r>
      <w:r w:rsidR="00FF4BB9" w:rsidRPr="00A66326">
        <w:t>by the Corporate Director</w:t>
      </w:r>
    </w:p>
    <w:p w14:paraId="2561DE56" w14:textId="77777777" w:rsidR="00FF4BB9" w:rsidRPr="00A66326" w:rsidRDefault="00FF4BB9" w:rsidP="00FF4BB9">
      <w:pPr>
        <w:rPr>
          <w:sz w:val="28"/>
        </w:rPr>
      </w:pPr>
    </w:p>
    <w:p w14:paraId="369B585E" w14:textId="13554544" w:rsidR="00FF4BB9" w:rsidRPr="00A66326" w:rsidRDefault="00FF4BB9" w:rsidP="00FF4BB9">
      <w:pPr>
        <w:spacing w:after="480"/>
        <w:rPr>
          <w:sz w:val="28"/>
        </w:rPr>
      </w:pPr>
      <w:r w:rsidRPr="00A66326">
        <w:rPr>
          <w:b/>
          <w:sz w:val="28"/>
        </w:rPr>
        <w:t xml:space="preserve">Date:  </w:t>
      </w:r>
      <w:r w:rsidR="008727A5">
        <w:rPr>
          <w:b/>
          <w:sz w:val="28"/>
        </w:rPr>
        <w:t>09/06/2023</w:t>
      </w:r>
    </w:p>
    <w:p w14:paraId="0099E0CC" w14:textId="77777777" w:rsidR="00FF4BB9" w:rsidRPr="00435B5D" w:rsidRDefault="00FF4BB9" w:rsidP="00FF4BB9">
      <w:pPr>
        <w:pStyle w:val="Heading3"/>
      </w:pPr>
      <w:r>
        <w:t>Mandatory Checks</w:t>
      </w:r>
    </w:p>
    <w:p w14:paraId="2A51B300" w14:textId="09A63522" w:rsidR="00FF4BB9" w:rsidRPr="00FF4BB9" w:rsidRDefault="00FF4BB9" w:rsidP="00530D4A">
      <w:pPr>
        <w:pStyle w:val="Heading4"/>
      </w:pPr>
      <w:r w:rsidRPr="00FF4BB9">
        <w:t xml:space="preserve">Ward Councillors notified:  NO, as it impacts on all Wards </w:t>
      </w:r>
    </w:p>
    <w:p w14:paraId="6B556393" w14:textId="77777777" w:rsidR="00FF4BB9" w:rsidRDefault="00FF4BB9" w:rsidP="00FF4BB9">
      <w:pPr>
        <w:pStyle w:val="Heading2"/>
        <w:keepNext/>
      </w:pPr>
      <w:r>
        <w:t>Section 4 - Contact Details and Background Papers</w:t>
      </w:r>
    </w:p>
    <w:p w14:paraId="45D9F7F9" w14:textId="2081B8E9" w:rsidR="00FF4BB9" w:rsidRDefault="00FF4BB9" w:rsidP="00FF4BB9">
      <w:pPr>
        <w:pStyle w:val="Infotext"/>
      </w:pPr>
      <w:r w:rsidRPr="00D914D2">
        <w:rPr>
          <w:b/>
        </w:rPr>
        <w:t>Contact:</w:t>
      </w:r>
      <w:r>
        <w:t xml:space="preserve">  </w:t>
      </w:r>
      <w:r w:rsidR="00F00A98">
        <w:rPr>
          <w:rFonts w:cs="Arial"/>
          <w:sz w:val="24"/>
        </w:rPr>
        <w:t>Laurence Gibson, Consultant in Public Health</w:t>
      </w:r>
      <w:r w:rsidR="0014430E">
        <w:rPr>
          <w:rFonts w:cs="Arial"/>
          <w:sz w:val="24"/>
        </w:rPr>
        <w:t>,</w:t>
      </w:r>
      <w:r w:rsidR="00F00A98">
        <w:rPr>
          <w:rFonts w:cs="Arial"/>
          <w:sz w:val="24"/>
        </w:rPr>
        <w:t xml:space="preserve"> </w:t>
      </w:r>
      <w:r w:rsidR="000D62A2">
        <w:rPr>
          <w:rFonts w:cs="Arial"/>
          <w:sz w:val="24"/>
        </w:rPr>
        <w:t>07749 602492</w:t>
      </w:r>
    </w:p>
    <w:p w14:paraId="560AED8A" w14:textId="58D3A946" w:rsidR="00FF4BB9" w:rsidRDefault="00FF4BB9" w:rsidP="00FF4BB9">
      <w:pPr>
        <w:pStyle w:val="Infotext"/>
        <w:spacing w:before="360"/>
      </w:pPr>
      <w:r w:rsidRPr="00D914D2">
        <w:rPr>
          <w:b/>
        </w:rPr>
        <w:t>Background Papers</w:t>
      </w:r>
      <w:r>
        <w:t xml:space="preserve">:  </w:t>
      </w:r>
      <w:r w:rsidR="008A0E0F" w:rsidRPr="008A0E0F">
        <w:t>Pharmaceutical Needs Assessment 2022</w:t>
      </w:r>
    </w:p>
    <w:p w14:paraId="4B11CAF4" w14:textId="71429941" w:rsidR="0002191A" w:rsidRDefault="0002191A" w:rsidP="00FF4BB9">
      <w:pPr>
        <w:pStyle w:val="Infotext"/>
        <w:spacing w:before="360"/>
      </w:pPr>
      <w:hyperlink r:id="rId12" w:history="1">
        <w:r>
          <w:rPr>
            <w:rStyle w:val="Hyperlink"/>
          </w:rPr>
          <w:t>https://www.harrow.gov.uk/health-leisure/pharmaceutical-needs-assessme</w:t>
        </w:r>
        <w:r>
          <w:rPr>
            <w:rStyle w:val="Hyperlink"/>
          </w:rPr>
          <w:t>nts</w:t>
        </w:r>
      </w:hyperlink>
    </w:p>
    <w:p w14:paraId="7C47980D" w14:textId="77777777" w:rsidR="00FF4BB9" w:rsidRDefault="00FF4BB9" w:rsidP="00FF4BB9">
      <w:pPr>
        <w:pStyle w:val="Infotext"/>
        <w:spacing w:before="360" w:after="240"/>
      </w:pPr>
      <w:r>
        <w:t xml:space="preserve">If appropriate, does the report include the following considerations? </w:t>
      </w:r>
    </w:p>
    <w:p w14:paraId="61A13184" w14:textId="7CAF6DE7" w:rsidR="00FF4BB9" w:rsidRDefault="00FF4BB9" w:rsidP="00FF4BB9">
      <w:pPr>
        <w:pStyle w:val="Infotext"/>
        <w:tabs>
          <w:tab w:val="left" w:pos="656"/>
          <w:tab w:val="left" w:pos="6399"/>
        </w:tabs>
      </w:pPr>
      <w:r>
        <w:t>1.</w:t>
      </w:r>
      <w:r>
        <w:tab/>
        <w:t xml:space="preserve">Consultation </w:t>
      </w:r>
      <w:r>
        <w:tab/>
      </w:r>
      <w:r w:rsidR="00B477F4">
        <w:t>NO</w:t>
      </w:r>
      <w:r>
        <w:t xml:space="preserve"> </w:t>
      </w:r>
    </w:p>
    <w:p w14:paraId="0A1A8035"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7FFC" w14:textId="77777777" w:rsidR="00F34634" w:rsidRDefault="00F34634">
      <w:r>
        <w:separator/>
      </w:r>
    </w:p>
  </w:endnote>
  <w:endnote w:type="continuationSeparator" w:id="0">
    <w:p w14:paraId="7AE5EC7A" w14:textId="77777777" w:rsidR="00F34634" w:rsidRDefault="00F3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1784" w14:textId="77777777" w:rsidR="00F34634" w:rsidRDefault="00F34634">
      <w:r>
        <w:separator/>
      </w:r>
    </w:p>
  </w:footnote>
  <w:footnote w:type="continuationSeparator" w:id="0">
    <w:p w14:paraId="198B745B" w14:textId="77777777" w:rsidR="00F34634" w:rsidRDefault="00F34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2485B"/>
    <w:multiLevelType w:val="hybridMultilevel"/>
    <w:tmpl w:val="2C16AA4C"/>
    <w:lvl w:ilvl="0" w:tplc="1EF2B4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6B39B6"/>
    <w:multiLevelType w:val="hybridMultilevel"/>
    <w:tmpl w:val="71A64B18"/>
    <w:lvl w:ilvl="0" w:tplc="1EF2B4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659D0"/>
    <w:multiLevelType w:val="hybridMultilevel"/>
    <w:tmpl w:val="131BCE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C6372AD"/>
    <w:multiLevelType w:val="hybridMultilevel"/>
    <w:tmpl w:val="5A38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43887A5C"/>
    <w:multiLevelType w:val="hybridMultilevel"/>
    <w:tmpl w:val="101E9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F66C6A"/>
    <w:multiLevelType w:val="hybridMultilevel"/>
    <w:tmpl w:val="C31C835E"/>
    <w:lvl w:ilvl="0" w:tplc="1EF2B4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63FD0"/>
    <w:multiLevelType w:val="hybridMultilevel"/>
    <w:tmpl w:val="88F6AC44"/>
    <w:lvl w:ilvl="0" w:tplc="1EF2B4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845FDC"/>
    <w:multiLevelType w:val="hybridMultilevel"/>
    <w:tmpl w:val="F0C44FDE"/>
    <w:lvl w:ilvl="0" w:tplc="1EF2B4D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0119232">
    <w:abstractNumId w:val="19"/>
  </w:num>
  <w:num w:numId="2" w16cid:durableId="1346445794">
    <w:abstractNumId w:val="13"/>
  </w:num>
  <w:num w:numId="3" w16cid:durableId="972179977">
    <w:abstractNumId w:val="18"/>
  </w:num>
  <w:num w:numId="4" w16cid:durableId="1298533530">
    <w:abstractNumId w:val="1"/>
  </w:num>
  <w:num w:numId="5" w16cid:durableId="4066599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1952451">
    <w:abstractNumId w:val="6"/>
  </w:num>
  <w:num w:numId="7" w16cid:durableId="664893844">
    <w:abstractNumId w:val="10"/>
  </w:num>
  <w:num w:numId="8" w16cid:durableId="1959952324">
    <w:abstractNumId w:val="4"/>
  </w:num>
  <w:num w:numId="9" w16cid:durableId="1716391331">
    <w:abstractNumId w:val="17"/>
  </w:num>
  <w:num w:numId="10" w16cid:durableId="1556820917">
    <w:abstractNumId w:val="21"/>
  </w:num>
  <w:num w:numId="11" w16cid:durableId="1926570939">
    <w:abstractNumId w:val="15"/>
  </w:num>
  <w:num w:numId="12" w16cid:durableId="258488234">
    <w:abstractNumId w:val="3"/>
  </w:num>
  <w:num w:numId="13" w16cid:durableId="1329014828">
    <w:abstractNumId w:val="5"/>
  </w:num>
  <w:num w:numId="14" w16cid:durableId="2076733476">
    <w:abstractNumId w:val="12"/>
  </w:num>
  <w:num w:numId="15" w16cid:durableId="894973281">
    <w:abstractNumId w:val="0"/>
  </w:num>
  <w:num w:numId="16" w16cid:durableId="2011984197">
    <w:abstractNumId w:val="9"/>
  </w:num>
  <w:num w:numId="17" w16cid:durableId="1661809418">
    <w:abstractNumId w:val="20"/>
  </w:num>
  <w:num w:numId="18" w16cid:durableId="570238254">
    <w:abstractNumId w:val="14"/>
  </w:num>
  <w:num w:numId="19" w16cid:durableId="1485512863">
    <w:abstractNumId w:val="2"/>
  </w:num>
  <w:num w:numId="20" w16cid:durableId="2072385613">
    <w:abstractNumId w:val="7"/>
  </w:num>
  <w:num w:numId="21" w16cid:durableId="1882356428">
    <w:abstractNumId w:val="11"/>
  </w:num>
  <w:num w:numId="22" w16cid:durableId="944463213">
    <w:abstractNumId w:val="8"/>
  </w:num>
  <w:num w:numId="23" w16cid:durableId="9260389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3D93"/>
    <w:rsid w:val="000110EA"/>
    <w:rsid w:val="0002191A"/>
    <w:rsid w:val="00032691"/>
    <w:rsid w:val="000366EB"/>
    <w:rsid w:val="00042659"/>
    <w:rsid w:val="000507FB"/>
    <w:rsid w:val="00057F10"/>
    <w:rsid w:val="000705F9"/>
    <w:rsid w:val="00071927"/>
    <w:rsid w:val="00071EB4"/>
    <w:rsid w:val="00077298"/>
    <w:rsid w:val="00080819"/>
    <w:rsid w:val="00081FF4"/>
    <w:rsid w:val="00092B37"/>
    <w:rsid w:val="000A120B"/>
    <w:rsid w:val="000B6DBB"/>
    <w:rsid w:val="000D2BF2"/>
    <w:rsid w:val="000D62A2"/>
    <w:rsid w:val="000E3955"/>
    <w:rsid w:val="000E7AF8"/>
    <w:rsid w:val="000F65C0"/>
    <w:rsid w:val="00105F30"/>
    <w:rsid w:val="00115A4D"/>
    <w:rsid w:val="00122491"/>
    <w:rsid w:val="00123472"/>
    <w:rsid w:val="001417FD"/>
    <w:rsid w:val="0014430E"/>
    <w:rsid w:val="0014658E"/>
    <w:rsid w:val="0016671E"/>
    <w:rsid w:val="001864D8"/>
    <w:rsid w:val="001939BA"/>
    <w:rsid w:val="001976BF"/>
    <w:rsid w:val="001A31C0"/>
    <w:rsid w:val="001C0FAA"/>
    <w:rsid w:val="001C5225"/>
    <w:rsid w:val="001E0219"/>
    <w:rsid w:val="001E6EC6"/>
    <w:rsid w:val="001E7655"/>
    <w:rsid w:val="001F341E"/>
    <w:rsid w:val="0020083E"/>
    <w:rsid w:val="00222F23"/>
    <w:rsid w:val="00231A1D"/>
    <w:rsid w:val="00235217"/>
    <w:rsid w:val="00236A61"/>
    <w:rsid w:val="00253ED8"/>
    <w:rsid w:val="002740C2"/>
    <w:rsid w:val="00274375"/>
    <w:rsid w:val="00296F20"/>
    <w:rsid w:val="002A2389"/>
    <w:rsid w:val="002C08E2"/>
    <w:rsid w:val="002C1794"/>
    <w:rsid w:val="002C1D70"/>
    <w:rsid w:val="002C4CDD"/>
    <w:rsid w:val="002C6E40"/>
    <w:rsid w:val="002D3D1F"/>
    <w:rsid w:val="002E77E3"/>
    <w:rsid w:val="00307ADE"/>
    <w:rsid w:val="003115B3"/>
    <w:rsid w:val="0032025F"/>
    <w:rsid w:val="0034193A"/>
    <w:rsid w:val="0034544F"/>
    <w:rsid w:val="003460BC"/>
    <w:rsid w:val="00350C95"/>
    <w:rsid w:val="00350F15"/>
    <w:rsid w:val="003772A0"/>
    <w:rsid w:val="00377DCF"/>
    <w:rsid w:val="003913D9"/>
    <w:rsid w:val="003A044A"/>
    <w:rsid w:val="003A1E66"/>
    <w:rsid w:val="003A787D"/>
    <w:rsid w:val="003B6B15"/>
    <w:rsid w:val="003C0B16"/>
    <w:rsid w:val="003C1A4E"/>
    <w:rsid w:val="003C548B"/>
    <w:rsid w:val="003C74FB"/>
    <w:rsid w:val="003D5F26"/>
    <w:rsid w:val="003E17DE"/>
    <w:rsid w:val="003E757E"/>
    <w:rsid w:val="003F47C5"/>
    <w:rsid w:val="00411A24"/>
    <w:rsid w:val="004213D7"/>
    <w:rsid w:val="00423334"/>
    <w:rsid w:val="0042394B"/>
    <w:rsid w:val="00425466"/>
    <w:rsid w:val="00426604"/>
    <w:rsid w:val="00426803"/>
    <w:rsid w:val="004674DA"/>
    <w:rsid w:val="00473B08"/>
    <w:rsid w:val="00474B5F"/>
    <w:rsid w:val="00485470"/>
    <w:rsid w:val="004854BB"/>
    <w:rsid w:val="00497A25"/>
    <w:rsid w:val="004A44A0"/>
    <w:rsid w:val="004B2C9D"/>
    <w:rsid w:val="004B6536"/>
    <w:rsid w:val="004B7367"/>
    <w:rsid w:val="004C2D29"/>
    <w:rsid w:val="004D5D86"/>
    <w:rsid w:val="004E667D"/>
    <w:rsid w:val="004E6AF9"/>
    <w:rsid w:val="004F025E"/>
    <w:rsid w:val="00513FB9"/>
    <w:rsid w:val="00515324"/>
    <w:rsid w:val="00530D4A"/>
    <w:rsid w:val="00532F86"/>
    <w:rsid w:val="00555B49"/>
    <w:rsid w:val="005861B4"/>
    <w:rsid w:val="005874F0"/>
    <w:rsid w:val="00587C69"/>
    <w:rsid w:val="005918F3"/>
    <w:rsid w:val="005A17F0"/>
    <w:rsid w:val="005B3627"/>
    <w:rsid w:val="005B445A"/>
    <w:rsid w:val="005D4ADF"/>
    <w:rsid w:val="005D791F"/>
    <w:rsid w:val="005E384D"/>
    <w:rsid w:val="005E570E"/>
    <w:rsid w:val="005F2181"/>
    <w:rsid w:val="005F724B"/>
    <w:rsid w:val="0060517E"/>
    <w:rsid w:val="0063072B"/>
    <w:rsid w:val="006465F6"/>
    <w:rsid w:val="00650BE7"/>
    <w:rsid w:val="00653AFE"/>
    <w:rsid w:val="00662891"/>
    <w:rsid w:val="0066577B"/>
    <w:rsid w:val="00675FCB"/>
    <w:rsid w:val="0067600A"/>
    <w:rsid w:val="00686026"/>
    <w:rsid w:val="006C3914"/>
    <w:rsid w:val="006D0EC3"/>
    <w:rsid w:val="006D2C51"/>
    <w:rsid w:val="006E3B61"/>
    <w:rsid w:val="006F1D8D"/>
    <w:rsid w:val="007219C8"/>
    <w:rsid w:val="0074184E"/>
    <w:rsid w:val="007433A0"/>
    <w:rsid w:val="00744BC5"/>
    <w:rsid w:val="007515FC"/>
    <w:rsid w:val="00755744"/>
    <w:rsid w:val="00755F8D"/>
    <w:rsid w:val="00795E1A"/>
    <w:rsid w:val="00796503"/>
    <w:rsid w:val="007978FF"/>
    <w:rsid w:val="007B2F0D"/>
    <w:rsid w:val="007D56C8"/>
    <w:rsid w:val="007E7303"/>
    <w:rsid w:val="007F7B2F"/>
    <w:rsid w:val="00803162"/>
    <w:rsid w:val="008136B1"/>
    <w:rsid w:val="008359FF"/>
    <w:rsid w:val="00842443"/>
    <w:rsid w:val="00843386"/>
    <w:rsid w:val="00854D98"/>
    <w:rsid w:val="00856D05"/>
    <w:rsid w:val="008675EC"/>
    <w:rsid w:val="008727A5"/>
    <w:rsid w:val="00873FD8"/>
    <w:rsid w:val="00880EB3"/>
    <w:rsid w:val="008A0E0F"/>
    <w:rsid w:val="008A7480"/>
    <w:rsid w:val="008C747A"/>
    <w:rsid w:val="008D1750"/>
    <w:rsid w:val="008D7AA4"/>
    <w:rsid w:val="008E4913"/>
    <w:rsid w:val="008F2DA8"/>
    <w:rsid w:val="008F4594"/>
    <w:rsid w:val="00900464"/>
    <w:rsid w:val="0090100E"/>
    <w:rsid w:val="00903F4F"/>
    <w:rsid w:val="00921CB0"/>
    <w:rsid w:val="0093767E"/>
    <w:rsid w:val="00970A16"/>
    <w:rsid w:val="00972A02"/>
    <w:rsid w:val="00975576"/>
    <w:rsid w:val="00982F01"/>
    <w:rsid w:val="009855A6"/>
    <w:rsid w:val="0099517C"/>
    <w:rsid w:val="009A2C88"/>
    <w:rsid w:val="009B2ECD"/>
    <w:rsid w:val="009B4289"/>
    <w:rsid w:val="009B6FD7"/>
    <w:rsid w:val="009B7914"/>
    <w:rsid w:val="009D5F6E"/>
    <w:rsid w:val="009D619A"/>
    <w:rsid w:val="009D75B7"/>
    <w:rsid w:val="009F0ADF"/>
    <w:rsid w:val="00A103F4"/>
    <w:rsid w:val="00A21809"/>
    <w:rsid w:val="00A27CEF"/>
    <w:rsid w:val="00A345F1"/>
    <w:rsid w:val="00A34D02"/>
    <w:rsid w:val="00A46E0A"/>
    <w:rsid w:val="00A50388"/>
    <w:rsid w:val="00A51FAE"/>
    <w:rsid w:val="00A566E7"/>
    <w:rsid w:val="00A613C1"/>
    <w:rsid w:val="00A65411"/>
    <w:rsid w:val="00A76A21"/>
    <w:rsid w:val="00A92F2C"/>
    <w:rsid w:val="00A940D3"/>
    <w:rsid w:val="00A942B5"/>
    <w:rsid w:val="00A96FCA"/>
    <w:rsid w:val="00AA0246"/>
    <w:rsid w:val="00AA4BE8"/>
    <w:rsid w:val="00AA5D1C"/>
    <w:rsid w:val="00AB736A"/>
    <w:rsid w:val="00AC3ADB"/>
    <w:rsid w:val="00AC7BA9"/>
    <w:rsid w:val="00AD5FD9"/>
    <w:rsid w:val="00B0425E"/>
    <w:rsid w:val="00B070BD"/>
    <w:rsid w:val="00B13D19"/>
    <w:rsid w:val="00B30E75"/>
    <w:rsid w:val="00B32F37"/>
    <w:rsid w:val="00B46B7D"/>
    <w:rsid w:val="00B477F4"/>
    <w:rsid w:val="00B620FB"/>
    <w:rsid w:val="00B83E20"/>
    <w:rsid w:val="00B92AA6"/>
    <w:rsid w:val="00B9498A"/>
    <w:rsid w:val="00BD11F2"/>
    <w:rsid w:val="00BD18C1"/>
    <w:rsid w:val="00BD684A"/>
    <w:rsid w:val="00BE1C78"/>
    <w:rsid w:val="00BE3FA0"/>
    <w:rsid w:val="00BF4820"/>
    <w:rsid w:val="00BF48E4"/>
    <w:rsid w:val="00BF48F7"/>
    <w:rsid w:val="00BF6C06"/>
    <w:rsid w:val="00BF7067"/>
    <w:rsid w:val="00C05B1C"/>
    <w:rsid w:val="00C171C8"/>
    <w:rsid w:val="00C20070"/>
    <w:rsid w:val="00C32DAE"/>
    <w:rsid w:val="00C355B4"/>
    <w:rsid w:val="00C40E24"/>
    <w:rsid w:val="00C45C16"/>
    <w:rsid w:val="00C65D4B"/>
    <w:rsid w:val="00C71A4F"/>
    <w:rsid w:val="00C82CEC"/>
    <w:rsid w:val="00C86F02"/>
    <w:rsid w:val="00C90B7D"/>
    <w:rsid w:val="00C95F48"/>
    <w:rsid w:val="00C96EF5"/>
    <w:rsid w:val="00CA1AB9"/>
    <w:rsid w:val="00CC34A2"/>
    <w:rsid w:val="00CE43B8"/>
    <w:rsid w:val="00CF621B"/>
    <w:rsid w:val="00D0503C"/>
    <w:rsid w:val="00D10281"/>
    <w:rsid w:val="00D1109B"/>
    <w:rsid w:val="00D25FB3"/>
    <w:rsid w:val="00D32B51"/>
    <w:rsid w:val="00D34145"/>
    <w:rsid w:val="00D34668"/>
    <w:rsid w:val="00D3740E"/>
    <w:rsid w:val="00D54D08"/>
    <w:rsid w:val="00D6453B"/>
    <w:rsid w:val="00D67254"/>
    <w:rsid w:val="00D82F57"/>
    <w:rsid w:val="00D841A5"/>
    <w:rsid w:val="00D914D2"/>
    <w:rsid w:val="00DA25DB"/>
    <w:rsid w:val="00DA5B13"/>
    <w:rsid w:val="00DB39E5"/>
    <w:rsid w:val="00DD372F"/>
    <w:rsid w:val="00DD4251"/>
    <w:rsid w:val="00DF2EB3"/>
    <w:rsid w:val="00DF2F23"/>
    <w:rsid w:val="00DF48BB"/>
    <w:rsid w:val="00E02B50"/>
    <w:rsid w:val="00E03F11"/>
    <w:rsid w:val="00E04B6A"/>
    <w:rsid w:val="00E06DC8"/>
    <w:rsid w:val="00E220B5"/>
    <w:rsid w:val="00E3528D"/>
    <w:rsid w:val="00E634DE"/>
    <w:rsid w:val="00E66F12"/>
    <w:rsid w:val="00E83716"/>
    <w:rsid w:val="00EA2F92"/>
    <w:rsid w:val="00EA6242"/>
    <w:rsid w:val="00EB0198"/>
    <w:rsid w:val="00EB7879"/>
    <w:rsid w:val="00EC3058"/>
    <w:rsid w:val="00EC6BC7"/>
    <w:rsid w:val="00EE00DF"/>
    <w:rsid w:val="00EE0325"/>
    <w:rsid w:val="00EE23CF"/>
    <w:rsid w:val="00EE51C7"/>
    <w:rsid w:val="00F00A98"/>
    <w:rsid w:val="00F12D91"/>
    <w:rsid w:val="00F14A5E"/>
    <w:rsid w:val="00F22944"/>
    <w:rsid w:val="00F34634"/>
    <w:rsid w:val="00F37855"/>
    <w:rsid w:val="00F37C8A"/>
    <w:rsid w:val="00F4213B"/>
    <w:rsid w:val="00F60192"/>
    <w:rsid w:val="00F66DED"/>
    <w:rsid w:val="00F849ED"/>
    <w:rsid w:val="00F878F9"/>
    <w:rsid w:val="00F92398"/>
    <w:rsid w:val="00F97541"/>
    <w:rsid w:val="00FA7D7A"/>
    <w:rsid w:val="00FB42F2"/>
    <w:rsid w:val="00FD157B"/>
    <w:rsid w:val="00FD22BE"/>
    <w:rsid w:val="00FD31A0"/>
    <w:rsid w:val="00FD4D48"/>
    <w:rsid w:val="00FE0A75"/>
    <w:rsid w:val="00FE1988"/>
    <w:rsid w:val="00FF0C74"/>
    <w:rsid w:val="00FF1F6C"/>
    <w:rsid w:val="00FF2B96"/>
    <w:rsid w:val="00FF30F2"/>
    <w:rsid w:val="00FF4BB9"/>
    <w:rsid w:val="00FF6AAD"/>
    <w:rsid w:val="00FF71E5"/>
    <w:rsid w:val="0622C6B3"/>
    <w:rsid w:val="2A6B4DBA"/>
    <w:rsid w:val="2AE14251"/>
    <w:rsid w:val="33BCE01D"/>
    <w:rsid w:val="492FEF45"/>
    <w:rsid w:val="4A588554"/>
    <w:rsid w:val="5CBEBBF6"/>
    <w:rsid w:val="5EC99578"/>
    <w:rsid w:val="5FDC6489"/>
    <w:rsid w:val="78CD35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0BD69"/>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B6FD7"/>
    <w:pPr>
      <w:spacing w:before="0"/>
      <w:outlineLvl w:val="0"/>
    </w:pPr>
    <w:rPr>
      <w:b/>
    </w:rPr>
  </w:style>
  <w:style w:type="paragraph" w:styleId="Heading2">
    <w:name w:val="heading 2"/>
    <w:basedOn w:val="Normal"/>
    <w:next w:val="Normal"/>
    <w:qFormat/>
    <w:rsid w:val="001976BF"/>
    <w:pPr>
      <w:spacing w:before="480" w:after="240"/>
      <w:outlineLvl w:val="1"/>
    </w:pPr>
    <w:rPr>
      <w:rFonts w:ascii="Arial Black" w:hAnsi="Arial Black" w:cs="Arial"/>
      <w:bCs/>
      <w:sz w:val="32"/>
      <w:szCs w:val="32"/>
    </w:rPr>
  </w:style>
  <w:style w:type="paragraph" w:styleId="Heading3">
    <w:name w:val="heading 3"/>
    <w:basedOn w:val="Normal"/>
    <w:next w:val="Normal"/>
    <w:qFormat/>
    <w:rsid w:val="00FF4BB9"/>
    <w:pPr>
      <w:spacing w:before="480" w:after="240"/>
      <w:jc w:val="both"/>
      <w:outlineLvl w:val="2"/>
    </w:pPr>
    <w:rPr>
      <w:rFonts w:ascii="Arial Black" w:hAnsi="Arial Black" w:cs="Arial"/>
      <w:bCs/>
      <w:sz w:val="32"/>
      <w:szCs w:val="28"/>
    </w:rPr>
  </w:style>
  <w:style w:type="paragraph" w:styleId="Heading4">
    <w:name w:val="heading 4"/>
    <w:basedOn w:val="Normal"/>
    <w:next w:val="Normal"/>
    <w:qFormat/>
    <w:rsid w:val="00530D4A"/>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qFormat/>
    <w:rsid w:val="00A50388"/>
    <w:pPr>
      <w:ind w:left="720"/>
    </w:pPr>
  </w:style>
  <w:style w:type="table" w:customStyle="1" w:styleId="Style1">
    <w:name w:val="Style1"/>
    <w:basedOn w:val="TableNormal"/>
    <w:uiPriority w:val="99"/>
    <w:rsid w:val="009B6FD7"/>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3772A0"/>
    <w:rPr>
      <w:color w:val="605E5C"/>
      <w:shd w:val="clear" w:color="auto" w:fill="E1DFDD"/>
    </w:rPr>
  </w:style>
  <w:style w:type="paragraph" w:customStyle="1" w:styleId="Default">
    <w:name w:val="Default"/>
    <w:rsid w:val="00B83E20"/>
    <w:pPr>
      <w:autoSpaceDE w:val="0"/>
      <w:autoSpaceDN w:val="0"/>
      <w:adjustRightInd w:val="0"/>
    </w:pPr>
    <w:rPr>
      <w:rFonts w:ascii="Arial" w:hAnsi="Arial" w:cs="Arial"/>
      <w:color w:val="000000"/>
      <w:sz w:val="24"/>
      <w:szCs w:val="24"/>
    </w:rPr>
  </w:style>
  <w:style w:type="table" w:styleId="TableGrid">
    <w:name w:val="Table Grid"/>
    <w:basedOn w:val="TableNormal"/>
    <w:rsid w:val="00F87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219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4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1.safelinks.protection.outlook.com/?url=https%3A%2F%2Fwww.harrow.gov.uk%2Fhealth-leisure%2Fpharmaceutical-needs-assessments&amp;data=05%7C01%7CAlison.Atherton%40harrow.gov.uk%7C57534ec0394d4d8dff6008db6c254371%7Cd2c39953a8db4c3c97f2d2dc76fb3e2c%7C1%7C0%7C638222679518486543%7CUnknown%7CTWFpbGZsb3d8eyJWIjoiMC4wLjAwMDAiLCJQIjoiV2luMzIiLCJBTiI6Ik1haWwiLCJXVCI6Mn0%3D%7C3000%7C%7C%7C&amp;sdata=wUFyVVBGXfSaZ2pxxsIBDG%2BRpygBJbMiS06wvpEUwvY%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659C3-2314-46D1-9BD9-0F7A7FE1E598}">
  <ds:schemaRefs>
    <ds:schemaRef ds:uri="http://schemas.openxmlformats.org/officeDocument/2006/bibliography"/>
  </ds:schemaRefs>
</ds:datastoreItem>
</file>

<file path=customXml/itemProps2.xml><?xml version="1.0" encoding="utf-8"?>
<ds:datastoreItem xmlns:ds="http://schemas.openxmlformats.org/officeDocument/2006/customXml" ds:itemID="{2873522E-26B8-4B57-9DC5-40456742F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5A1C8-0C33-40F3-BB38-26F53BC9D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2F82CF-5F35-45BA-8890-1345BDD46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9</cp:revision>
  <cp:lastPrinted>2007-07-12T09:53:00Z</cp:lastPrinted>
  <dcterms:created xsi:type="dcterms:W3CDTF">2023-06-02T12:13:00Z</dcterms:created>
  <dcterms:modified xsi:type="dcterms:W3CDTF">2023-06-13T16:07:00Z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